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/>
        <w:jc w:val="both"/>
        <w:textAlignment w:val="auto"/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</w:pPr>
      <w:r>
        <w:rPr>
          <w:rFonts w:hint="default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highlight w:val="none"/>
          <w:lang w:val="en-US" w:eastAsia="zh-CN"/>
        </w:rPr>
        <w:t>4：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bookmarkStart w:id="3" w:name="_GoBack"/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消防车驾驶员操作车辆考核表</w:t>
      </w:r>
      <w:bookmarkEnd w:id="3"/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/>
        <w:jc w:val="left"/>
        <w:textAlignment w:val="auto"/>
        <w:outlineLvl w:val="1"/>
        <w:rPr>
          <w:rFonts w:hint="eastAsia" w:ascii="方正黑体_GBK" w:hAnsi="方正黑体_GBK" w:eastAsia="方正黑体_GBK" w:cs="方正黑体_GBK"/>
          <w:sz w:val="24"/>
          <w:szCs w:val="24"/>
        </w:rPr>
      </w:pPr>
      <w:bookmarkStart w:id="0" w:name="heading_0"/>
      <w:r>
        <w:rPr>
          <w:rFonts w:hint="eastAsia" w:ascii="方正黑体_GBK" w:hAnsi="方正黑体_GBK" w:eastAsia="方正黑体_GBK" w:cs="方正黑体_GBK"/>
          <w:b/>
          <w:sz w:val="24"/>
          <w:szCs w:val="24"/>
          <w:lang w:val="en-US" w:eastAsia="zh-CN"/>
        </w:rPr>
        <w:t>一、</w:t>
      </w:r>
      <w:r>
        <w:rPr>
          <w:rFonts w:hint="eastAsia" w:ascii="方正黑体_GBK" w:hAnsi="方正黑体_GBK" w:eastAsia="方正黑体_GBK" w:cs="方正黑体_GBK"/>
          <w:b/>
          <w:sz w:val="24"/>
          <w:szCs w:val="24"/>
        </w:rPr>
        <w:t>基本信息</w:t>
      </w:r>
      <w:bookmarkEnd w:id="0"/>
    </w:p>
    <w:tbl>
      <w:tblPr>
        <w:tblStyle w:val="2"/>
        <w:tblW w:w="5011" w:type="pct"/>
        <w:jc w:val="center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1063"/>
        <w:gridCol w:w="1395"/>
        <w:gridCol w:w="1073"/>
        <w:gridCol w:w="2273"/>
        <w:gridCol w:w="1126"/>
        <w:gridCol w:w="1635"/>
      </w:tblGrid>
      <w:tr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456" w:hRule="atLeast"/>
          <w:jc w:val="center"/>
        </w:trPr>
        <w:tc>
          <w:tcPr>
            <w:tcW w:w="620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姓名</w:t>
            </w:r>
          </w:p>
        </w:tc>
        <w:tc>
          <w:tcPr>
            <w:tcW w:w="81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6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身份证号</w:t>
            </w:r>
          </w:p>
        </w:tc>
        <w:tc>
          <w:tcPr>
            <w:tcW w:w="1326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</w:p>
        </w:tc>
        <w:tc>
          <w:tcPr>
            <w:tcW w:w="657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  <w:r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  <w:t>联系电话</w:t>
            </w:r>
          </w:p>
        </w:tc>
        <w:tc>
          <w:tcPr>
            <w:tcW w:w="954" w:type="pc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/>
              <w:jc w:val="center"/>
              <w:textAlignment w:val="center"/>
              <w:rPr>
                <w:rFonts w:hint="eastAsia" w:ascii="方正仿宋_GBK" w:hAnsi="方正仿宋_GBK" w:eastAsia="方正仿宋_GBK" w:cs="方正仿宋_GBK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/>
        <w:jc w:val="left"/>
        <w:textAlignment w:val="auto"/>
        <w:outlineLvl w:val="1"/>
        <w:rPr>
          <w:sz w:val="24"/>
          <w:szCs w:val="24"/>
        </w:rPr>
      </w:pPr>
      <w:bookmarkStart w:id="1" w:name="heading_1"/>
      <w:r>
        <w:rPr>
          <w:rFonts w:hint="eastAsia" w:ascii="Arial" w:hAnsi="Arial" w:eastAsia="等线" w:cs="Arial"/>
          <w:b/>
          <w:sz w:val="24"/>
          <w:szCs w:val="24"/>
          <w:lang w:val="en-US" w:eastAsia="zh-CN"/>
        </w:rPr>
        <w:t>二、</w:t>
      </w:r>
      <w:r>
        <w:rPr>
          <w:rFonts w:ascii="Arial" w:hAnsi="Arial" w:eastAsia="等线" w:cs="Arial"/>
          <w:b/>
          <w:sz w:val="24"/>
          <w:szCs w:val="24"/>
        </w:rPr>
        <w:t>考核说明</w:t>
      </w:r>
      <w:bookmarkEnd w:id="1"/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="Times New Roman" w:hAnsi="Times New Roman" w:eastAsia="方正仿宋_GBK" w:cs="Times New Roman"/>
          <w:sz w:val="24"/>
          <w:szCs w:val="24"/>
        </w:rPr>
      </w:pP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1、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本次考核总分</w:t>
      </w:r>
      <w:r>
        <w:rPr>
          <w:rFonts w:hint="default" w:ascii="Times New Roman" w:hAnsi="Times New Roman" w:eastAsia="方正仿宋_GBK" w:cs="Times New Roman"/>
          <w:b/>
          <w:sz w:val="24"/>
          <w:szCs w:val="24"/>
        </w:rPr>
        <w:t>100分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，</w:t>
      </w:r>
      <w:r>
        <w:rPr>
          <w:rFonts w:hint="default" w:ascii="Times New Roman" w:hAnsi="Times New Roman" w:eastAsia="方正仿宋_GBK" w:cs="Times New Roman"/>
          <w:b/>
          <w:sz w:val="24"/>
          <w:szCs w:val="24"/>
        </w:rPr>
        <w:t>80分及以上为合格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，低于80分不合格；出现重大安全违规（如车辆碰撞、违规操作引发险情、强行危险驾驶），直接判定考核不合格。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="Times New Roman" w:hAnsi="Times New Roman" w:eastAsia="方正仿宋_GBK" w:cs="Times New Roman"/>
          <w:sz w:val="24"/>
          <w:szCs w:val="24"/>
        </w:rPr>
      </w:pP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2、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考核项目分</w:t>
      </w:r>
      <w:r>
        <w:rPr>
          <w:rFonts w:hint="default" w:ascii="Times New Roman" w:hAnsi="Times New Roman" w:eastAsia="方正仿宋_GBK" w:cs="Times New Roman"/>
          <w:b/>
          <w:sz w:val="24"/>
          <w:szCs w:val="24"/>
        </w:rPr>
        <w:t>基础驾驶操作、场地专项驾驶、应急驾驶处置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三大类，严格按照评分标准打分，扣分扣完本项分值为止，不出现负分。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jc w:val="left"/>
        <w:textAlignment w:val="auto"/>
        <w:rPr>
          <w:rFonts w:hint="default" w:ascii="Times New Roman" w:hAnsi="Times New Roman" w:eastAsia="方正仿宋_GBK" w:cs="Times New Roman"/>
          <w:sz w:val="24"/>
          <w:szCs w:val="24"/>
        </w:rPr>
      </w:pPr>
      <w:r>
        <w:rPr>
          <w:rFonts w:hint="eastAsia" w:ascii="Times New Roman" w:hAnsi="Times New Roman" w:eastAsia="方正仿宋_GBK" w:cs="Times New Roman"/>
          <w:sz w:val="24"/>
          <w:szCs w:val="24"/>
          <w:lang w:val="en-US" w:eastAsia="zh-CN"/>
        </w:rPr>
        <w:t>3、</w:t>
      </w:r>
      <w:r>
        <w:rPr>
          <w:rFonts w:hint="default" w:ascii="Times New Roman" w:hAnsi="Times New Roman" w:eastAsia="方正仿宋_GBK" w:cs="Times New Roman"/>
          <w:sz w:val="24"/>
          <w:szCs w:val="24"/>
        </w:rPr>
        <w:t>考核过程全程记录，评委现场打分、签字确认，考核结果当场告知考核对象。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exact"/>
        <w:ind w:left="0"/>
        <w:jc w:val="left"/>
        <w:textAlignment w:val="auto"/>
        <w:outlineLvl w:val="1"/>
        <w:rPr>
          <w:sz w:val="24"/>
          <w:szCs w:val="24"/>
        </w:rPr>
      </w:pPr>
      <w:bookmarkStart w:id="2" w:name="heading_2"/>
      <w:r>
        <w:rPr>
          <w:rFonts w:hint="eastAsia" w:ascii="Arial" w:hAnsi="Arial" w:eastAsia="等线" w:cs="Arial"/>
          <w:b/>
          <w:sz w:val="24"/>
          <w:szCs w:val="24"/>
          <w:lang w:val="en-US" w:eastAsia="zh-CN"/>
        </w:rPr>
        <w:t>三、</w:t>
      </w:r>
      <w:r>
        <w:rPr>
          <w:rFonts w:ascii="Arial" w:hAnsi="Arial" w:eastAsia="等线" w:cs="Arial"/>
          <w:b/>
          <w:sz w:val="24"/>
          <w:szCs w:val="24"/>
        </w:rPr>
        <w:t>考核项目及评分标准</w:t>
      </w:r>
      <w:bookmarkEnd w:id="2"/>
    </w:p>
    <w:tbl>
      <w:tblPr>
        <w:tblStyle w:val="2"/>
        <w:tblW w:w="9658" w:type="dxa"/>
        <w:jc w:val="center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autofit"/>
        <w:tblCellMar>
          <w:top w:w="0" w:type="dxa"/>
          <w:left w:w="10" w:type="dxa"/>
          <w:bottom w:w="0" w:type="dxa"/>
          <w:right w:w="10" w:type="dxa"/>
        </w:tblCellMar>
      </w:tblPr>
      <w:tblGrid>
        <w:gridCol w:w="689"/>
        <w:gridCol w:w="878"/>
        <w:gridCol w:w="624"/>
        <w:gridCol w:w="2768"/>
        <w:gridCol w:w="3483"/>
        <w:gridCol w:w="702"/>
        <w:gridCol w:w="514"/>
      </w:tblGrid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  <w:t>考核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  <w:t>大类</w:t>
            </w: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  <w:t>考核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  <w:t>项目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  <w:t>分值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  <w:t>评分标准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  <w:t>扣分细则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  <w:t>实得分</w:t>
            </w: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</w:pPr>
            <w:r>
              <w:rPr>
                <w:rFonts w:hint="eastAsia" w:ascii="方正黑体_GBK" w:hAnsi="方正黑体_GBK" w:eastAsia="方正黑体_GBK" w:cs="方正黑体_GBK"/>
                <w:sz w:val="20"/>
                <w:szCs w:val="20"/>
              </w:rPr>
              <w:t>备注</w:t>
            </w: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0"/>
                <w:szCs w:val="20"/>
              </w:rPr>
              <w:t>一、基础驾驶操作</w:t>
            </w: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出车前车辆检查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10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按规范完成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“绕车一周”检查，主要包括车辆周边和底盘有无障碍物和人员等，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消防车外观、轮胎、刹车、仪表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指示灯等是否正常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、流程规范，无遗漏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1.遗漏1项关键检查内容，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扣5分；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2.检查流程混乱、操作不规范，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扣3分；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3.未发现车辆明显故障隐患，扣5分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4.未绕车检查本项不得分：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起步与停车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10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起步平稳，无溜车、无熄火，系好安全带，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是否打转向灯，鸣笛，是否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观察周边环境；停车规范，拉手刹、回空挡，车辆停稳在指定区域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1.起步溜车＜10cm扣3分，10-20cm扣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分，＞20cm直接本项不得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2.起步熄火1次扣3分，未系安全带扣5分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，未打转向灯和鸣笛各扣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3分：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3.停车未拉手刹/回空挡，扣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车辆操控与行驶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10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行驶中车速控制合理，挡位切换顺畅，转向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掉头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、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变道，超车，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刹车操作精准，遵守现场行驶规则，无违规驾驶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1.急加速、急刹车1次扣2分；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2.挡位操作失误1次扣2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3.车速超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速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、违规变道，扣3分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4.转向掉头未减速，超车不规范各扣3分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0"/>
                <w:szCs w:val="20"/>
              </w:rPr>
              <w:t>二、场地专项驾驶</w:t>
            </w: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倒车入库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15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按照规定路线倒车入库，车身完全入库，不压线、不碰杆，一次性完成，停车位置精准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1.车身压线1次扣5分，碰擦桩杆1次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扣5分；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2.入库不完全扣5分，中途熄火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扣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3.多次调整方向入库，扣3分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侧方停车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15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规范完成侧方停车，车身与边线距离适中，不压线、不出线，停车平稳，流程规范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1.车身压线、出线扣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2.停车位置偏差过大扣4分；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3.操作流程不规范、中途停车超时，扣3分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20"/>
                <w:szCs w:val="20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窄路</w:t>
            </w:r>
            <w:r>
              <w:rPr>
                <w:rFonts w:hint="eastAsia" w:ascii="Times New Roman" w:hAnsi="Times New Roman" w:eastAsia="方正仿宋_GBK" w:cs="Times New Roman"/>
                <w:sz w:val="20"/>
                <w:szCs w:val="20"/>
                <w:lang w:eastAsia="zh-CN"/>
              </w:rPr>
              <w:t>掉头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10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按规范要求“三进两退”完成掉头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全程不熄火，不溜车，轮胎不压边线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1.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未按要求三进两退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扣5分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中途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熄火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一次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扣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3.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轮胎压线</w:t>
            </w: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，扣2分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坡道起步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10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坡道起步平稳，无溜车、无熄火，离合/油门配合顺畅，快速完成起步行驶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1.溜车＞10cm本项不得分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2.起步熄火1次扣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3分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3.起步超时，扣3分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；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vMerge w:val="restart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0"/>
                <w:szCs w:val="20"/>
              </w:rPr>
              <w:t>三、应急驾驶处置</w:t>
            </w: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紧急避险操作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10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遇到突发情况，快速做出正确处置，平稳避让，无碰撞、无违规操作，保障车辆安全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1.处置不及时、操作失误，扣5分；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2.引发车辆轻微险情，扣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5分；</w:t>
            </w:r>
          </w:p>
          <w:p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 w:leftChars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3.操作不当导致碰撞，直接考核不合格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vMerge w:val="continue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车辆应急停靠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10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按照应急要求，快速、规范将车辆停靠在指定应急位置，车辆摆放合理，不妨碍救援通道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1.停靠位置偏差过大扣4分；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2.停靠速度过慢、操作拖沓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eastAsia="zh-CN"/>
              </w:rPr>
              <w:t>，</w:t>
            </w:r>
            <w:r>
              <w:rPr>
                <w:rFonts w:hint="eastAsia" w:ascii="Times New Roman" w:hAnsi="Times New Roman" w:eastAsia="方正仿宋_GBK" w:cs="Times New Roman"/>
                <w:sz w:val="18"/>
                <w:szCs w:val="18"/>
                <w:lang w:val="en-US" w:eastAsia="zh-CN"/>
              </w:rPr>
              <w:t>扣3分；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left"/>
              <w:textAlignment w:val="auto"/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方正仿宋_GBK" w:cs="Times New Roman"/>
                <w:sz w:val="18"/>
                <w:szCs w:val="18"/>
              </w:rPr>
              <w:t>3.车辆停靠阻碍通道，扣3分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1"/>
                <w:szCs w:val="21"/>
              </w:rPr>
            </w:pPr>
          </w:p>
        </w:tc>
      </w:tr>
      <w:tr>
        <w:tblPrEx>
          <w:tblBorders>
            <w:top w:val="single" w:color="000000" w:sz="6" w:space="0"/>
            <w:left w:val="single" w:color="000000" w:sz="6" w:space="0"/>
            <w:bottom w:val="single" w:color="000000" w:sz="6" w:space="0"/>
            <w:right w:val="single" w:color="000000" w:sz="6" w:space="0"/>
            <w:insideH w:val="single" w:color="000000" w:sz="6" w:space="0"/>
            <w:insideV w:val="single" w:color="000000" w:sz="6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rPr>
          <w:trHeight w:val="90" w:hRule="atLeast"/>
          <w:jc w:val="center"/>
        </w:trPr>
        <w:tc>
          <w:tcPr>
            <w:tcW w:w="689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b/>
                <w:sz w:val="20"/>
                <w:szCs w:val="20"/>
              </w:rPr>
              <w:t>合计</w:t>
            </w:r>
          </w:p>
        </w:tc>
        <w:tc>
          <w:tcPr>
            <w:tcW w:w="87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——</w:t>
            </w:r>
          </w:p>
        </w:tc>
        <w:tc>
          <w:tcPr>
            <w:tcW w:w="62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100</w:t>
            </w:r>
          </w:p>
        </w:tc>
        <w:tc>
          <w:tcPr>
            <w:tcW w:w="2768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——</w:t>
            </w:r>
          </w:p>
        </w:tc>
        <w:tc>
          <w:tcPr>
            <w:tcW w:w="3483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  <w:r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  <w:t>——</w:t>
            </w:r>
          </w:p>
        </w:tc>
        <w:tc>
          <w:tcPr>
            <w:tcW w:w="702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  <w:tc>
          <w:tcPr>
            <w:tcW w:w="514" w:type="dxa"/>
            <w:tcMar>
              <w:top w:w="60" w:type="dxa"/>
              <w:left w:w="120" w:type="dxa"/>
              <w:bottom w:w="30" w:type="dxa"/>
              <w:right w:w="120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20" w:lineRule="exact"/>
              <w:ind w:left="0"/>
              <w:jc w:val="center"/>
              <w:textAlignment w:val="auto"/>
              <w:rPr>
                <w:rFonts w:hint="default" w:ascii="Times New Roman" w:hAnsi="Times New Roman" w:eastAsia="方正仿宋_GBK" w:cs="Times New Roman"/>
                <w:sz w:val="20"/>
                <w:szCs w:val="20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ind w:left="0" w:leftChars="0"/>
        <w:jc w:val="left"/>
        <w:textAlignment w:val="auto"/>
        <w:rPr>
          <w:rFonts w:hint="eastAsia" w:ascii="方正仿宋_GBK" w:hAnsi="方正仿宋_GBK" w:eastAsia="方正仿宋_GBK" w:cs="方正仿宋_GBK"/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sz w:val="24"/>
          <w:szCs w:val="24"/>
        </w:rPr>
        <w:t>考核对象签字：__________</w:t>
      </w:r>
      <w:r>
        <w:rPr>
          <w:rFonts w:hint="eastAsia" w:ascii="方正仿宋_GBK" w:hAnsi="方正仿宋_GBK" w:eastAsia="方正仿宋_GBK" w:cs="方正仿宋_GBK"/>
          <w:sz w:val="24"/>
          <w:szCs w:val="24"/>
          <w:lang w:val="en-US" w:eastAsia="zh-CN"/>
        </w:rPr>
        <w:t xml:space="preserve">                 考官</w:t>
      </w:r>
      <w:r>
        <w:rPr>
          <w:rFonts w:hint="eastAsia" w:ascii="方正仿宋_GBK" w:hAnsi="方正仿宋_GBK" w:eastAsia="方正仿宋_GBK" w:cs="方正仿宋_GBK"/>
          <w:sz w:val="24"/>
          <w:szCs w:val="24"/>
        </w:rPr>
        <w:t>签字：__________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ZmNzgzNjYwZmQ3NjkwNjY0ZDAxNzllNzU0NWJkYzgifQ=="/>
  </w:docVars>
  <w:rsids>
    <w:rsidRoot w:val="44B46846"/>
    <w:rsid w:val="44B46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1180</Words>
  <Characters>1260</Characters>
  <Lines>0</Lines>
  <Paragraphs>0</Paragraphs>
  <TotalTime>1</TotalTime>
  <ScaleCrop>false</ScaleCrop>
  <LinksUpToDate>false</LinksUpToDate>
  <CharactersWithSpaces>1277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2026-10-30T07:57:00Z</dcterms:created>
  <dc:creator>张先军</dc:creator>
  <cp:lastModifiedBy>张先军</cp:lastModifiedBy>
  <dcterms:modified xsi:type="dcterms:W3CDTF">2026-10-30T07:59:13Z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84668CA4D7694100B9CD6285C4C312F6</vt:lpwstr>
  </property>
</Properties>
</file>