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/>
          <w:spacing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100"/>
          <w:sz w:val="44"/>
          <w:szCs w:val="44"/>
        </w:rPr>
        <w:t>体检须知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、体检人员在体检前应领取《体检表》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报到时由工作人员统一发放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。体检结束后将《体检表》交体检工作人员保管。请配合医生认真检查所有项目，勿漏检。若主动放弃某一检查项目，将视为体检不合格。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从报到至体检结束，严禁携带或使用通讯工具，如有携带者必须交给体检工作人员保管，违者按违纪处理。在体检过程中主动透露个人姓名等信息，未经许可离开体检现场的，取消其体检资格。严禁考生家长及陪同人员进入体检集合地点和医院体检区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、女士生理期，不宜作妇科检查及尿检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做妇科检查前应排空膀胱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乳腺远红外线检查最好选择在生理期后一周内。未婚女士不宜做妇科检查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有特殊需求者要签署相关协议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告知书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方可进行相应检查。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、检查当天需抽完血、做完腹部超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波检查后，方可进食。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、按规定时间采血。最迟不宜超过10：00抽血，否则太晚会由于体内生理性内分泌激素的影响，血液状态发生变化，虽然仍是空腹采血，但检测值容易失真（例如血糖值），失去化验的意义。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、体检当日穿着要求：穿脱方便的服装、鞋袜，最好不佩戴项链等，女同志的文胸不要带钢托，不要穿金属亮片的内衣。做X线检查时，宜穿棉布内衣，勿穿带有金属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纽扣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的衣服、文胸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请摘去项链、手机、钢笔、钥匙等金属物品。怀孕及有可能怀孕之女性受检者，请先告知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人员，慎做X光检查。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、检查前三到五日饮食宜清淡，勿食猪肝、猪血等含血性之食物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体检前一天忌酒，限高脂高蛋白饮食，避免使用对肝肾功能有影响的药物。检查前一日晚上十点以后，请完全禁食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包括饮水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588" w:bottom="1440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DE5MGI0ZGVhYjhlYWY0MGExYTQzNzY5MjRjN2EifQ=="/>
  </w:docVars>
  <w:rsids>
    <w:rsidRoot w:val="1D4B1F96"/>
    <w:rsid w:val="1D4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2022-08-02T03:46:00Z</dcterms:created>
  <dc:creator>T king of king</dc:creator>
  <cp:lastModifiedBy>T king of king</cp:lastModifiedBy>
  <dcterms:modified xsi:type="dcterms:W3CDTF">2022-08-02T03:46:46Z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8BE765BA6D55463A8AF9C8643518023C</vt:lpwstr>
  </property>
</Properties>
</file>