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（一）男子组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（二）女子组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年龄计算时间截止到参加体能测评当月。</w:t>
      </w:r>
    </w:p>
    <w:p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zhhNmVjMTEzMTE5MDlmN2ViZTgwMTdjMzQ0YzAifQ=="/>
  </w:docVars>
  <w:rsids>
    <w:rsidRoot w:val="3C741157"/>
    <w:rsid w:val="034C6DF8"/>
    <w:rsid w:val="2DE13783"/>
    <w:rsid w:val="3C741157"/>
    <w:rsid w:val="5C17A06C"/>
    <w:rsid w:val="7F9D7BC8"/>
    <w:rsid w:val="A4BF0EFE"/>
    <w:rsid w:val="F7E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2024-04-10T03:19:00Z</dcterms:created>
  <dc:creator>李琦</dc:creator>
  <cp:lastModifiedBy>柠檬树</cp:lastModifiedBy>
  <dcterms:modified xsi:type="dcterms:W3CDTF">2024-05-06T13:09:04Z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557594226BA1463E8F74C309B20C369D_11</vt:lpwstr>
  </property>
</Properties>
</file>