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A8F0F">
      <w:pPr>
        <w:pStyle w:val="2"/>
        <w:keepNext w:val="0"/>
        <w:keepLines w:val="0"/>
        <w:widowControl/>
        <w:suppressLineNumbers w:val="0"/>
        <w:rPr>
          <w:sz w:val="40"/>
          <w:szCs w:val="40"/>
        </w:rPr>
      </w:pPr>
      <w:bookmarkStart w:id="0" w:name="_GoBack"/>
      <w:r>
        <w:rPr>
          <w:color w:val="333333"/>
          <w:sz w:val="40"/>
          <w:szCs w:val="40"/>
          <w:bdr w:val="none" w:color="auto" w:sz="0" w:space="0"/>
        </w:rPr>
        <w:t>关于修订公务员录用体检通用标准试行及公务员录用体检操作手册试行有关内容的通知</w:t>
      </w:r>
    </w:p>
    <w:bookmarkEnd w:id="0"/>
    <w:p w14:paraId="3665B5CF">
      <w:pPr>
        <w:keepNext w:val="0"/>
        <w:keepLines w:val="0"/>
        <w:widowControl/>
        <w:suppressLineNumbers w:val="0"/>
        <w:pBdr>
          <w:top w:val="none" w:color="auto" w:sz="0" w:space="0"/>
          <w:left w:val="none" w:color="auto" w:sz="0" w:space="0"/>
          <w:bottom w:val="none" w:color="auto" w:sz="0" w:space="0"/>
          <w:right w:val="none" w:color="auto" w:sz="0" w:space="0"/>
        </w:pBdr>
        <w:jc w:val="left"/>
        <w:rPr>
          <w:rFonts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发布日期：2025-10-14</w:t>
      </w:r>
    </w:p>
    <w:p w14:paraId="670FA4FF">
      <w:pPr>
        <w:pStyle w:val="2"/>
        <w:keepNext w:val="0"/>
        <w:keepLines w:val="0"/>
        <w:widowControl/>
        <w:suppressLineNumbers w:val="0"/>
        <w:spacing w:line="384" w:lineRule="atLeast"/>
        <w:jc w:val="center"/>
      </w:pPr>
      <w:r>
        <w:rPr>
          <w:rFonts w:ascii="仿宋_GB2312" w:eastAsia="仿宋_GB2312" w:cs="仿宋_GB2312"/>
          <w:b w:val="0"/>
          <w:bCs w:val="0"/>
          <w:color w:val="333333"/>
          <w:sz w:val="25"/>
          <w:szCs w:val="25"/>
          <w:bdr w:val="none" w:color="auto" w:sz="0" w:space="0"/>
        </w:rPr>
        <w:t>人社部发〔</w:t>
      </w:r>
      <w:r>
        <w:rPr>
          <w:rFonts w:hint="default" w:ascii="Times New Roman" w:hAnsi="Times New Roman" w:cs="Times New Roman"/>
          <w:b w:val="0"/>
          <w:bCs w:val="0"/>
          <w:color w:val="333333"/>
          <w:sz w:val="25"/>
          <w:szCs w:val="25"/>
          <w:bdr w:val="none" w:color="auto" w:sz="0" w:space="0"/>
        </w:rPr>
        <w:t>2016</w:t>
      </w:r>
      <w:r>
        <w:rPr>
          <w:rFonts w:hint="default" w:ascii="仿宋_GB2312" w:eastAsia="仿宋_GB2312" w:cs="仿宋_GB2312"/>
          <w:b w:val="0"/>
          <w:bCs w:val="0"/>
          <w:color w:val="333333"/>
          <w:sz w:val="25"/>
          <w:szCs w:val="25"/>
          <w:bdr w:val="none" w:color="auto" w:sz="0" w:space="0"/>
        </w:rPr>
        <w:t>〕</w:t>
      </w:r>
      <w:r>
        <w:rPr>
          <w:rFonts w:hint="default" w:ascii="Times New Roman" w:hAnsi="Times New Roman" w:cs="Times New Roman"/>
          <w:b w:val="0"/>
          <w:bCs w:val="0"/>
          <w:color w:val="333333"/>
          <w:sz w:val="25"/>
          <w:szCs w:val="25"/>
          <w:bdr w:val="none" w:color="auto" w:sz="0" w:space="0"/>
        </w:rPr>
        <w:t>140</w:t>
      </w:r>
      <w:r>
        <w:rPr>
          <w:rFonts w:hint="default" w:ascii="仿宋_GB2312" w:eastAsia="仿宋_GB2312" w:cs="仿宋_GB2312"/>
          <w:b w:val="0"/>
          <w:bCs w:val="0"/>
          <w:color w:val="333333"/>
          <w:sz w:val="25"/>
          <w:szCs w:val="25"/>
          <w:bdr w:val="none" w:color="auto" w:sz="0" w:space="0"/>
        </w:rPr>
        <w:t>号</w:t>
      </w:r>
    </w:p>
    <w:p w14:paraId="3495999F">
      <w:pPr>
        <w:pStyle w:val="3"/>
        <w:keepNext w:val="0"/>
        <w:keepLines w:val="0"/>
        <w:widowControl/>
        <w:suppressLineNumbers w:val="0"/>
        <w:spacing w:line="384" w:lineRule="atLeast"/>
        <w:jc w:val="center"/>
      </w:pPr>
      <w:r>
        <w:rPr>
          <w:rFonts w:ascii="仿宋" w:hAnsi="仿宋" w:eastAsia="仿宋" w:cs="仿宋"/>
          <w:color w:val="333333"/>
          <w:spacing w:val="36"/>
          <w:sz w:val="25"/>
          <w:szCs w:val="25"/>
          <w:bdr w:val="none" w:color="auto" w:sz="0" w:space="0"/>
        </w:rPr>
        <w:t> </w:t>
      </w:r>
    </w:p>
    <w:p w14:paraId="1C1D539D">
      <w:pPr>
        <w:pStyle w:val="3"/>
        <w:keepNext w:val="0"/>
        <w:keepLines w:val="0"/>
        <w:widowControl/>
        <w:suppressLineNumbers w:val="0"/>
        <w:spacing w:line="480" w:lineRule="atLeast"/>
        <w:jc w:val="both"/>
      </w:pPr>
      <w:r>
        <w:rPr>
          <w:rFonts w:hint="eastAsia" w:ascii="仿宋" w:hAnsi="仿宋" w:eastAsia="仿宋" w:cs="仿宋"/>
          <w:color w:val="333333"/>
          <w:sz w:val="25"/>
          <w:szCs w:val="25"/>
          <w:bdr w:val="none" w:color="auto" w:sz="0" w:space="0"/>
        </w:rPr>
        <w:t>各省、自治区、直辖市和新疆生产建设兵团人力资源社会保障厅（局）、卫生计生委、公务员局，国务院各部委、各直属机构人事（干部）部门：</w:t>
      </w:r>
    </w:p>
    <w:p w14:paraId="7369D555">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为进一步提高公务员录用体检工作科学化、规范化水平，人力资源社会保障部、国家卫生计生委和国家公务员局组织医学专家对《公务员录用体检通用标准（试行）》（以下简称《标准》）和《公务员录用体检操作手册（试行）》（以下简称《操作手册》）部分内容进行了修订，现就有关事项通知如下：</w:t>
      </w:r>
    </w:p>
    <w:p w14:paraId="7A5D8759">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一、将《标准》第一条修订为：风湿性心脏病、心肌病、冠心病、先天性心脏病等器质性心脏病，不合格。先天性心脏病不需手术者或经手术治愈者，合格。</w:t>
      </w:r>
    </w:p>
    <w:p w14:paraId="43F4F91F">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遇有下列情况之一的，排除病理性改变，合格：</w:t>
      </w:r>
    </w:p>
    <w:p w14:paraId="625FD3AA">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（一）心脏听诊有杂音；</w:t>
      </w:r>
    </w:p>
    <w:p w14:paraId="1C5856F3">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（二）频发期前收缩；</w:t>
      </w:r>
    </w:p>
    <w:p w14:paraId="7A15D1D8">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（三）心率每分钟小于</w:t>
      </w:r>
      <w:r>
        <w:rPr>
          <w:rFonts w:hint="eastAsia" w:ascii="宋体" w:hAnsi="宋体" w:eastAsia="宋体" w:cs="宋体"/>
          <w:color w:val="333333"/>
          <w:sz w:val="25"/>
          <w:szCs w:val="25"/>
          <w:bdr w:val="none" w:color="auto" w:sz="0" w:space="0"/>
        </w:rPr>
        <w:t>50</w:t>
      </w:r>
      <w:r>
        <w:rPr>
          <w:rFonts w:hint="eastAsia" w:ascii="仿宋" w:hAnsi="仿宋" w:eastAsia="仿宋" w:cs="仿宋"/>
          <w:color w:val="333333"/>
          <w:sz w:val="25"/>
          <w:szCs w:val="25"/>
          <w:bdr w:val="none" w:color="auto" w:sz="0" w:space="0"/>
        </w:rPr>
        <w:t>次或大于</w:t>
      </w:r>
      <w:r>
        <w:rPr>
          <w:rFonts w:hint="eastAsia" w:ascii="宋体" w:hAnsi="宋体" w:eastAsia="宋体" w:cs="宋体"/>
          <w:color w:val="333333"/>
          <w:sz w:val="25"/>
          <w:szCs w:val="25"/>
          <w:bdr w:val="none" w:color="auto" w:sz="0" w:space="0"/>
        </w:rPr>
        <w:t>110</w:t>
      </w:r>
      <w:r>
        <w:rPr>
          <w:rFonts w:hint="eastAsia" w:ascii="仿宋" w:hAnsi="仿宋" w:eastAsia="仿宋" w:cs="仿宋"/>
          <w:color w:val="333333"/>
          <w:sz w:val="25"/>
          <w:szCs w:val="25"/>
          <w:bdr w:val="none" w:color="auto" w:sz="0" w:space="0"/>
        </w:rPr>
        <w:t>次；</w:t>
      </w:r>
    </w:p>
    <w:p w14:paraId="00B7EE59">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（四）心电图有异常的其他情况。</w:t>
      </w:r>
    </w:p>
    <w:p w14:paraId="1E60D1D5">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二、将《标准》第二条修订为：血压在下列范围内，合格：收缩压小于</w:t>
      </w:r>
      <w:r>
        <w:rPr>
          <w:rFonts w:hint="eastAsia" w:ascii="宋体" w:hAnsi="宋体" w:eastAsia="宋体" w:cs="宋体"/>
          <w:color w:val="333333"/>
          <w:sz w:val="25"/>
          <w:szCs w:val="25"/>
          <w:bdr w:val="none" w:color="auto" w:sz="0" w:space="0"/>
        </w:rPr>
        <w:t>140mmHg</w:t>
      </w:r>
      <w:r>
        <w:rPr>
          <w:rFonts w:hint="eastAsia" w:ascii="仿宋" w:hAnsi="仿宋" w:eastAsia="仿宋" w:cs="仿宋"/>
          <w:color w:val="333333"/>
          <w:sz w:val="25"/>
          <w:szCs w:val="25"/>
          <w:bdr w:val="none" w:color="auto" w:sz="0" w:space="0"/>
        </w:rPr>
        <w:t>；舒张压小于</w:t>
      </w:r>
      <w:r>
        <w:rPr>
          <w:rFonts w:hint="eastAsia" w:ascii="宋体" w:hAnsi="宋体" w:eastAsia="宋体" w:cs="宋体"/>
          <w:color w:val="333333"/>
          <w:sz w:val="25"/>
          <w:szCs w:val="25"/>
          <w:bdr w:val="none" w:color="auto" w:sz="0" w:space="0"/>
        </w:rPr>
        <w:t>90mmHg</w:t>
      </w:r>
      <w:r>
        <w:rPr>
          <w:rFonts w:hint="eastAsia" w:ascii="仿宋" w:hAnsi="仿宋" w:eastAsia="仿宋" w:cs="仿宋"/>
          <w:color w:val="333333"/>
          <w:sz w:val="25"/>
          <w:szCs w:val="25"/>
          <w:bdr w:val="none" w:color="auto" w:sz="0" w:space="0"/>
        </w:rPr>
        <w:t>。</w:t>
      </w:r>
    </w:p>
    <w:p w14:paraId="615AA853">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三、将《标准》第三条修订为：血液系统疾病，不合格。单纯性缺铁性贫血，血红蛋白男性高于</w:t>
      </w:r>
      <w:r>
        <w:rPr>
          <w:rFonts w:hint="eastAsia" w:ascii="宋体" w:hAnsi="宋体" w:eastAsia="宋体" w:cs="宋体"/>
          <w:color w:val="333333"/>
          <w:sz w:val="25"/>
          <w:szCs w:val="25"/>
          <w:bdr w:val="none" w:color="auto" w:sz="0" w:space="0"/>
        </w:rPr>
        <w:t>90g</w:t>
      </w:r>
      <w:r>
        <w:rPr>
          <w:rFonts w:hint="eastAsia" w:ascii="仿宋" w:hAnsi="仿宋" w:eastAsia="仿宋" w:cs="仿宋"/>
          <w:color w:val="333333"/>
          <w:sz w:val="25"/>
          <w:szCs w:val="25"/>
          <w:bdr w:val="none" w:color="auto" w:sz="0" w:space="0"/>
        </w:rPr>
        <w:t>／</w:t>
      </w:r>
      <w:r>
        <w:rPr>
          <w:rFonts w:hint="eastAsia" w:ascii="宋体" w:hAnsi="宋体" w:eastAsia="宋体" w:cs="宋体"/>
          <w:color w:val="333333"/>
          <w:sz w:val="25"/>
          <w:szCs w:val="25"/>
          <w:bdr w:val="none" w:color="auto" w:sz="0" w:space="0"/>
        </w:rPr>
        <w:t>L</w:t>
      </w:r>
      <w:r>
        <w:rPr>
          <w:rFonts w:hint="eastAsia" w:ascii="仿宋" w:hAnsi="仿宋" w:eastAsia="仿宋" w:cs="仿宋"/>
          <w:color w:val="333333"/>
          <w:sz w:val="25"/>
          <w:szCs w:val="25"/>
          <w:bdr w:val="none" w:color="auto" w:sz="0" w:space="0"/>
        </w:rPr>
        <w:t>、女性高于</w:t>
      </w:r>
      <w:r>
        <w:rPr>
          <w:rFonts w:hint="eastAsia" w:ascii="宋体" w:hAnsi="宋体" w:eastAsia="宋体" w:cs="宋体"/>
          <w:color w:val="333333"/>
          <w:sz w:val="25"/>
          <w:szCs w:val="25"/>
          <w:bdr w:val="none" w:color="auto" w:sz="0" w:space="0"/>
        </w:rPr>
        <w:t>80g</w:t>
      </w:r>
      <w:r>
        <w:rPr>
          <w:rFonts w:hint="eastAsia" w:ascii="仿宋" w:hAnsi="仿宋" w:eastAsia="仿宋" w:cs="仿宋"/>
          <w:color w:val="333333"/>
          <w:sz w:val="25"/>
          <w:szCs w:val="25"/>
          <w:bdr w:val="none" w:color="auto" w:sz="0" w:space="0"/>
        </w:rPr>
        <w:t>／</w:t>
      </w:r>
      <w:r>
        <w:rPr>
          <w:rFonts w:hint="eastAsia" w:ascii="宋体" w:hAnsi="宋体" w:eastAsia="宋体" w:cs="宋体"/>
          <w:color w:val="333333"/>
          <w:sz w:val="25"/>
          <w:szCs w:val="25"/>
          <w:bdr w:val="none" w:color="auto" w:sz="0" w:space="0"/>
        </w:rPr>
        <w:t>L</w:t>
      </w:r>
      <w:r>
        <w:rPr>
          <w:rFonts w:hint="eastAsia" w:ascii="仿宋" w:hAnsi="仿宋" w:eastAsia="仿宋" w:cs="仿宋"/>
          <w:color w:val="333333"/>
          <w:sz w:val="25"/>
          <w:szCs w:val="25"/>
          <w:bdr w:val="none" w:color="auto" w:sz="0" w:space="0"/>
        </w:rPr>
        <w:t>，合格。</w:t>
      </w:r>
    </w:p>
    <w:p w14:paraId="50768683">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四、将《标准》第六条修订为：慢性胰腺炎、溃疡性结肠炎、克罗恩病等严重慢性消化系统疾病，不合格。胃次全切除术后无严重并发症者，合格。</w:t>
      </w:r>
    </w:p>
    <w:p w14:paraId="64834BD9">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五、将《标准》第七条修订为：各种急慢性肝炎及肝硬化，不合格。</w:t>
      </w:r>
    </w:p>
    <w:p w14:paraId="5CC9D995">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六、将《标准》第八条修订为：恶性肿瘤，不合格。</w:t>
      </w:r>
    </w:p>
    <w:p w14:paraId="45F0A78C">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七、将《标准》第九条修订为：肾炎、慢性肾盂肾炎、多囊肾、肾功能不全，不合格。</w:t>
      </w:r>
    </w:p>
    <w:p w14:paraId="74B1B698">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八、将《标准》第十九条修订为：双眼矫正视力均低于</w:t>
      </w:r>
      <w:r>
        <w:rPr>
          <w:rFonts w:hint="eastAsia" w:ascii="宋体" w:hAnsi="宋体" w:eastAsia="宋体" w:cs="宋体"/>
          <w:color w:val="333333"/>
          <w:sz w:val="25"/>
          <w:szCs w:val="25"/>
          <w:bdr w:val="none" w:color="auto" w:sz="0" w:space="0"/>
        </w:rPr>
        <w:t>4.8</w:t>
      </w:r>
      <w:r>
        <w:rPr>
          <w:rFonts w:hint="eastAsia" w:ascii="仿宋" w:hAnsi="仿宋" w:eastAsia="仿宋" w:cs="仿宋"/>
          <w:color w:val="333333"/>
          <w:sz w:val="25"/>
          <w:szCs w:val="25"/>
          <w:bdr w:val="none" w:color="auto" w:sz="0" w:space="0"/>
        </w:rPr>
        <w:t>（小数视力</w:t>
      </w:r>
      <w:r>
        <w:rPr>
          <w:rFonts w:hint="eastAsia" w:ascii="宋体" w:hAnsi="宋体" w:eastAsia="宋体" w:cs="宋体"/>
          <w:color w:val="333333"/>
          <w:sz w:val="25"/>
          <w:szCs w:val="25"/>
          <w:bdr w:val="none" w:color="auto" w:sz="0" w:space="0"/>
        </w:rPr>
        <w:t>0.6</w:t>
      </w:r>
      <w:r>
        <w:rPr>
          <w:rFonts w:hint="eastAsia" w:ascii="仿宋" w:hAnsi="仿宋" w:eastAsia="仿宋" w:cs="仿宋"/>
          <w:color w:val="333333"/>
          <w:sz w:val="25"/>
          <w:szCs w:val="25"/>
          <w:bdr w:val="none" w:color="auto" w:sz="0" w:space="0"/>
        </w:rPr>
        <w:t>），一眼失明另一眼矫正视力低于</w:t>
      </w:r>
      <w:r>
        <w:rPr>
          <w:rFonts w:hint="eastAsia" w:ascii="宋体" w:hAnsi="宋体" w:eastAsia="宋体" w:cs="宋体"/>
          <w:color w:val="333333"/>
          <w:sz w:val="25"/>
          <w:szCs w:val="25"/>
          <w:bdr w:val="none" w:color="auto" w:sz="0" w:space="0"/>
        </w:rPr>
        <w:t>4.9</w:t>
      </w:r>
      <w:r>
        <w:rPr>
          <w:rFonts w:hint="eastAsia" w:ascii="仿宋" w:hAnsi="仿宋" w:eastAsia="仿宋" w:cs="仿宋"/>
          <w:color w:val="333333"/>
          <w:sz w:val="25"/>
          <w:szCs w:val="25"/>
          <w:bdr w:val="none" w:color="auto" w:sz="0" w:space="0"/>
        </w:rPr>
        <w:t>（小数视力</w:t>
      </w:r>
      <w:r>
        <w:rPr>
          <w:rFonts w:hint="eastAsia" w:ascii="宋体" w:hAnsi="宋体" w:eastAsia="宋体" w:cs="宋体"/>
          <w:color w:val="333333"/>
          <w:sz w:val="25"/>
          <w:szCs w:val="25"/>
          <w:bdr w:val="none" w:color="auto" w:sz="0" w:space="0"/>
        </w:rPr>
        <w:t>0.8</w:t>
      </w:r>
      <w:r>
        <w:rPr>
          <w:rFonts w:hint="eastAsia" w:ascii="仿宋" w:hAnsi="仿宋" w:eastAsia="仿宋" w:cs="仿宋"/>
          <w:color w:val="333333"/>
          <w:sz w:val="25"/>
          <w:szCs w:val="25"/>
          <w:bdr w:val="none" w:color="auto" w:sz="0" w:space="0"/>
        </w:rPr>
        <w:t>），有明显视功能损害眼病者，不合格。</w:t>
      </w:r>
    </w:p>
    <w:p w14:paraId="75678353">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九、将《标准》第二十条修订为：双耳均有听力障碍，在使用人工听觉装置情况下，双耳在</w:t>
      </w:r>
      <w:r>
        <w:rPr>
          <w:rFonts w:hint="eastAsia" w:ascii="宋体" w:hAnsi="宋体" w:eastAsia="宋体" w:cs="宋体"/>
          <w:color w:val="333333"/>
          <w:sz w:val="25"/>
          <w:szCs w:val="25"/>
          <w:bdr w:val="none" w:color="auto" w:sz="0" w:space="0"/>
        </w:rPr>
        <w:t>3</w:t>
      </w:r>
      <w:r>
        <w:rPr>
          <w:rFonts w:hint="eastAsia" w:ascii="仿宋" w:hAnsi="仿宋" w:eastAsia="仿宋" w:cs="仿宋"/>
          <w:color w:val="333333"/>
          <w:sz w:val="25"/>
          <w:szCs w:val="25"/>
          <w:bdr w:val="none" w:color="auto" w:sz="0" w:space="0"/>
        </w:rPr>
        <w:t>米以内耳语仍听不见者，不合格。</w:t>
      </w:r>
    </w:p>
    <w:p w14:paraId="230D5C16">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十、《操作手册》根据《标准》上述条文修订情况作了相应修订。</w:t>
      </w:r>
    </w:p>
    <w:p w14:paraId="154EDFF9">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本通知自</w:t>
      </w:r>
      <w:r>
        <w:rPr>
          <w:rFonts w:hint="eastAsia" w:ascii="宋体" w:hAnsi="宋体" w:eastAsia="宋体" w:cs="宋体"/>
          <w:color w:val="333333"/>
          <w:sz w:val="25"/>
          <w:szCs w:val="25"/>
          <w:bdr w:val="none" w:color="auto" w:sz="0" w:space="0"/>
        </w:rPr>
        <w:t>2017</w:t>
      </w:r>
      <w:r>
        <w:rPr>
          <w:rFonts w:hint="eastAsia" w:ascii="仿宋" w:hAnsi="仿宋" w:eastAsia="仿宋" w:cs="仿宋"/>
          <w:color w:val="333333"/>
          <w:sz w:val="25"/>
          <w:szCs w:val="25"/>
          <w:bdr w:val="none" w:color="auto" w:sz="0" w:space="0"/>
        </w:rPr>
        <w:t>年</w:t>
      </w:r>
      <w:r>
        <w:rPr>
          <w:rFonts w:hint="eastAsia" w:ascii="宋体" w:hAnsi="宋体" w:eastAsia="宋体" w:cs="宋体"/>
          <w:color w:val="333333"/>
          <w:sz w:val="25"/>
          <w:szCs w:val="25"/>
          <w:bdr w:val="none" w:color="auto" w:sz="0" w:space="0"/>
        </w:rPr>
        <w:t>1</w:t>
      </w:r>
      <w:r>
        <w:rPr>
          <w:rFonts w:hint="eastAsia" w:ascii="仿宋" w:hAnsi="仿宋" w:eastAsia="仿宋" w:cs="仿宋"/>
          <w:color w:val="333333"/>
          <w:sz w:val="25"/>
          <w:szCs w:val="25"/>
          <w:bdr w:val="none" w:color="auto" w:sz="0" w:space="0"/>
        </w:rPr>
        <w:t>月</w:t>
      </w:r>
      <w:r>
        <w:rPr>
          <w:rFonts w:hint="eastAsia" w:ascii="宋体" w:hAnsi="宋体" w:eastAsia="宋体" w:cs="宋体"/>
          <w:color w:val="333333"/>
          <w:sz w:val="25"/>
          <w:szCs w:val="25"/>
          <w:bdr w:val="none" w:color="auto" w:sz="0" w:space="0"/>
        </w:rPr>
        <w:t>1</w:t>
      </w:r>
      <w:r>
        <w:rPr>
          <w:rFonts w:hint="eastAsia" w:ascii="仿宋" w:hAnsi="仿宋" w:eastAsia="仿宋" w:cs="仿宋"/>
          <w:color w:val="333333"/>
          <w:sz w:val="25"/>
          <w:szCs w:val="25"/>
          <w:bdr w:val="none" w:color="auto" w:sz="0" w:space="0"/>
        </w:rPr>
        <w:t>日起实施。各地各部门要认真执行修订后的《标准》和《操作手册》，切实做好公务员录用体检工作。在具体工作中，遇有问题，请及时反馈中央公务员主管部门和卫生（卫生计生）行政部门。</w:t>
      </w:r>
    </w:p>
    <w:p w14:paraId="4DB12C3F">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 </w:t>
      </w:r>
    </w:p>
    <w:p w14:paraId="095EAFB5">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附件：公务员录用体检通用标准（试行）</w:t>
      </w:r>
    </w:p>
    <w:p w14:paraId="2FDA6B4D">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 </w:t>
      </w:r>
    </w:p>
    <w:p w14:paraId="395593DC">
      <w:pPr>
        <w:pStyle w:val="3"/>
        <w:keepNext w:val="0"/>
        <w:keepLines w:val="0"/>
        <w:widowControl/>
        <w:suppressLineNumbers w:val="0"/>
        <w:spacing w:line="480" w:lineRule="atLeast"/>
        <w:ind w:left="0" w:firstLine="516"/>
      </w:pPr>
      <w:r>
        <w:rPr>
          <w:rFonts w:hint="eastAsia" w:ascii="仿宋" w:hAnsi="仿宋" w:eastAsia="仿宋" w:cs="仿宋"/>
          <w:color w:val="333333"/>
          <w:sz w:val="25"/>
          <w:szCs w:val="25"/>
          <w:bdr w:val="none" w:color="auto" w:sz="0" w:space="0"/>
        </w:rPr>
        <w:t>  </w:t>
      </w:r>
    </w:p>
    <w:p w14:paraId="101890CE">
      <w:pPr>
        <w:pStyle w:val="3"/>
        <w:keepNext w:val="0"/>
        <w:keepLines w:val="0"/>
        <w:widowControl/>
        <w:suppressLineNumbers w:val="0"/>
        <w:spacing w:line="480" w:lineRule="atLeast"/>
        <w:ind w:left="0" w:firstLine="516"/>
        <w:jc w:val="center"/>
      </w:pPr>
      <w:r>
        <w:rPr>
          <w:rFonts w:hint="eastAsia" w:ascii="仿宋" w:hAnsi="仿宋" w:eastAsia="仿宋" w:cs="仿宋"/>
          <w:color w:val="333333"/>
          <w:sz w:val="25"/>
          <w:szCs w:val="25"/>
          <w:bdr w:val="none" w:color="auto" w:sz="0" w:space="0"/>
        </w:rPr>
        <w:t>人力资源社会保障部</w:t>
      </w:r>
      <w:r>
        <w:rPr>
          <w:rFonts w:hint="eastAsia" w:ascii="宋体" w:hAnsi="宋体" w:eastAsia="宋体" w:cs="宋体"/>
          <w:color w:val="333333"/>
          <w:sz w:val="25"/>
          <w:szCs w:val="25"/>
          <w:bdr w:val="none" w:color="auto" w:sz="0" w:space="0"/>
        </w:rPr>
        <w:t xml:space="preserve">  </w:t>
      </w:r>
      <w:r>
        <w:rPr>
          <w:rFonts w:hint="eastAsia" w:ascii="仿宋" w:hAnsi="仿宋" w:eastAsia="仿宋" w:cs="仿宋"/>
          <w:color w:val="333333"/>
          <w:sz w:val="25"/>
          <w:szCs w:val="25"/>
          <w:bdr w:val="none" w:color="auto" w:sz="0" w:space="0"/>
        </w:rPr>
        <w:t>国家卫生计生委</w:t>
      </w:r>
      <w:r>
        <w:rPr>
          <w:rFonts w:hint="eastAsia" w:ascii="宋体" w:hAnsi="宋体" w:eastAsia="宋体" w:cs="宋体"/>
          <w:color w:val="333333"/>
          <w:sz w:val="25"/>
          <w:szCs w:val="25"/>
          <w:bdr w:val="none" w:color="auto" w:sz="0" w:space="0"/>
        </w:rPr>
        <w:t xml:space="preserve">  </w:t>
      </w:r>
      <w:r>
        <w:rPr>
          <w:rFonts w:hint="eastAsia" w:ascii="仿宋" w:hAnsi="仿宋" w:eastAsia="仿宋" w:cs="仿宋"/>
          <w:color w:val="333333"/>
          <w:sz w:val="25"/>
          <w:szCs w:val="25"/>
          <w:bdr w:val="none" w:color="auto" w:sz="0" w:space="0"/>
        </w:rPr>
        <w:t>国家公务员局</w:t>
      </w:r>
    </w:p>
    <w:p w14:paraId="45E9D3F2">
      <w:pPr>
        <w:pStyle w:val="3"/>
        <w:keepNext w:val="0"/>
        <w:keepLines w:val="0"/>
        <w:widowControl/>
        <w:suppressLineNumbers w:val="0"/>
        <w:spacing w:line="480" w:lineRule="atLeast"/>
        <w:ind w:left="0" w:firstLine="516"/>
        <w:jc w:val="center"/>
      </w:pPr>
      <w:r>
        <w:rPr>
          <w:rFonts w:hint="eastAsia" w:ascii="仿宋" w:hAnsi="仿宋" w:eastAsia="仿宋" w:cs="仿宋"/>
          <w:color w:val="333333"/>
          <w:sz w:val="25"/>
          <w:szCs w:val="25"/>
          <w:bdr w:val="none" w:color="auto" w:sz="0" w:space="0"/>
        </w:rPr>
        <w:t> </w:t>
      </w:r>
    </w:p>
    <w:p w14:paraId="34B6BB3A">
      <w:pPr>
        <w:pStyle w:val="3"/>
        <w:keepNext w:val="0"/>
        <w:keepLines w:val="0"/>
        <w:widowControl/>
        <w:suppressLineNumbers w:val="0"/>
        <w:spacing w:line="480" w:lineRule="atLeast"/>
        <w:ind w:left="0" w:firstLine="2436"/>
        <w:jc w:val="center"/>
      </w:pPr>
      <w:r>
        <w:rPr>
          <w:rFonts w:hint="eastAsia" w:ascii="仿宋" w:hAnsi="仿宋" w:eastAsia="仿宋" w:cs="仿宋"/>
          <w:color w:val="333333"/>
          <w:sz w:val="25"/>
          <w:szCs w:val="25"/>
          <w:bdr w:val="none" w:color="auto" w:sz="0" w:space="0"/>
        </w:rPr>
        <w:t>        2016年</w:t>
      </w:r>
      <w:r>
        <w:rPr>
          <w:rFonts w:hint="eastAsia" w:ascii="宋体" w:hAnsi="宋体" w:eastAsia="宋体" w:cs="宋体"/>
          <w:color w:val="333333"/>
          <w:sz w:val="25"/>
          <w:szCs w:val="25"/>
          <w:bdr w:val="none" w:color="auto" w:sz="0" w:space="0"/>
        </w:rPr>
        <w:t>12</w:t>
      </w:r>
      <w:r>
        <w:rPr>
          <w:rFonts w:hint="eastAsia" w:ascii="仿宋" w:hAnsi="仿宋" w:eastAsia="仿宋" w:cs="仿宋"/>
          <w:color w:val="333333"/>
          <w:sz w:val="25"/>
          <w:szCs w:val="25"/>
          <w:bdr w:val="none" w:color="auto" w:sz="0" w:space="0"/>
        </w:rPr>
        <w:t>月</w:t>
      </w:r>
      <w:r>
        <w:rPr>
          <w:rFonts w:hint="eastAsia" w:ascii="宋体" w:hAnsi="宋体" w:eastAsia="宋体" w:cs="宋体"/>
          <w:color w:val="333333"/>
          <w:sz w:val="25"/>
          <w:szCs w:val="25"/>
          <w:bdr w:val="none" w:color="auto" w:sz="0" w:space="0"/>
        </w:rPr>
        <w:t>30</w:t>
      </w:r>
      <w:r>
        <w:rPr>
          <w:rFonts w:hint="eastAsia" w:ascii="仿宋" w:hAnsi="仿宋" w:eastAsia="仿宋" w:cs="仿宋"/>
          <w:color w:val="333333"/>
          <w:sz w:val="25"/>
          <w:szCs w:val="25"/>
          <w:bdr w:val="none" w:color="auto" w:sz="0" w:space="0"/>
        </w:rPr>
        <w:t>日</w:t>
      </w:r>
    </w:p>
    <w:p w14:paraId="34A17CA8">
      <w:pPr>
        <w:pStyle w:val="3"/>
        <w:keepNext w:val="0"/>
        <w:keepLines w:val="0"/>
        <w:widowControl/>
        <w:suppressLineNumbers w:val="0"/>
        <w:spacing w:line="480" w:lineRule="atLeast"/>
        <w:ind w:left="0" w:firstLine="2436"/>
      </w:pPr>
      <w:r>
        <w:rPr>
          <w:rFonts w:hint="eastAsia" w:ascii="宋体" w:hAnsi="宋体" w:eastAsia="宋体" w:cs="宋体"/>
          <w:color w:val="333333"/>
          <w:sz w:val="16"/>
          <w:szCs w:val="16"/>
          <w:bdr w:val="none" w:color="auto" w:sz="0" w:space="0"/>
        </w:rPr>
        <w:t> </w:t>
      </w:r>
    </w:p>
    <w:p w14:paraId="7055064A">
      <w:pPr>
        <w:pStyle w:val="3"/>
        <w:keepNext w:val="0"/>
        <w:keepLines w:val="0"/>
        <w:widowControl/>
        <w:suppressLineNumbers w:val="0"/>
        <w:spacing w:line="480" w:lineRule="atLeast"/>
        <w:ind w:left="0" w:firstLine="2436"/>
      </w:pPr>
      <w:r>
        <w:rPr>
          <w:rFonts w:hint="eastAsia" w:ascii="宋体" w:hAnsi="宋体" w:eastAsia="宋体" w:cs="宋体"/>
          <w:color w:val="333333"/>
          <w:sz w:val="16"/>
          <w:szCs w:val="16"/>
          <w:bdr w:val="none" w:color="auto" w:sz="0" w:space="0"/>
        </w:rPr>
        <w:t> </w:t>
      </w:r>
    </w:p>
    <w:p w14:paraId="7B7DCB08">
      <w:pPr>
        <w:pStyle w:val="3"/>
        <w:keepNext w:val="0"/>
        <w:keepLines w:val="0"/>
        <w:widowControl/>
        <w:suppressLineNumbers w:val="0"/>
        <w:spacing w:line="480" w:lineRule="atLeast"/>
        <w:ind w:left="0" w:firstLine="240"/>
        <w:jc w:val="center"/>
      </w:pPr>
      <w:r>
        <w:rPr>
          <w:rStyle w:val="6"/>
          <w:rFonts w:hint="eastAsia" w:ascii="宋体" w:hAnsi="宋体" w:eastAsia="宋体" w:cs="宋体"/>
          <w:color w:val="333333"/>
          <w:sz w:val="34"/>
          <w:szCs w:val="34"/>
          <w:bdr w:val="none" w:color="auto" w:sz="0" w:space="0"/>
        </w:rPr>
        <w:t>公务员录用体检通用标准（试行）</w:t>
      </w:r>
    </w:p>
    <w:p w14:paraId="7190D6B5">
      <w:pPr>
        <w:pStyle w:val="3"/>
        <w:keepNext w:val="0"/>
        <w:keepLines w:val="0"/>
        <w:widowControl/>
        <w:suppressLineNumbers w:val="0"/>
        <w:spacing w:line="480" w:lineRule="atLeast"/>
        <w:ind w:left="0" w:firstLine="516"/>
      </w:pPr>
      <w:r>
        <w:rPr>
          <w:rFonts w:hint="default" w:ascii="仿宋_GB2312" w:hAnsi="微软雅黑" w:eastAsia="仿宋_GB2312" w:cs="仿宋_GB2312"/>
          <w:color w:val="333333"/>
          <w:sz w:val="25"/>
          <w:szCs w:val="25"/>
          <w:bdr w:val="none" w:color="auto" w:sz="0" w:space="0"/>
        </w:rPr>
        <w:t> </w:t>
      </w:r>
    </w:p>
    <w:p w14:paraId="51F3AD72">
      <w:pPr>
        <w:pStyle w:val="3"/>
        <w:keepNext w:val="0"/>
        <w:keepLines w:val="0"/>
        <w:widowControl/>
        <w:suppressLineNumbers w:val="0"/>
        <w:spacing w:line="480" w:lineRule="atLeast"/>
        <w:ind w:left="0" w:firstLine="516"/>
        <w:jc w:val="both"/>
      </w:pPr>
      <w:r>
        <w:rPr>
          <w:rFonts w:ascii="黑体" w:hAnsi="宋体" w:eastAsia="黑体" w:cs="黑体"/>
          <w:color w:val="333333"/>
          <w:sz w:val="25"/>
          <w:szCs w:val="25"/>
          <w:bdr w:val="none" w:color="auto" w:sz="0" w:space="0"/>
        </w:rPr>
        <w:t>第一条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风湿性心脏病、心肌病、冠心病、先天性心脏病等器质性心脏病，不合格。先天性心脏病不需手术者或经手术治愈者，合格。</w:t>
      </w:r>
    </w:p>
    <w:p w14:paraId="7456BB4C">
      <w:pPr>
        <w:pStyle w:val="3"/>
        <w:keepNext w:val="0"/>
        <w:keepLines w:val="0"/>
        <w:widowControl/>
        <w:suppressLineNumbers w:val="0"/>
        <w:spacing w:line="480" w:lineRule="atLeast"/>
        <w:ind w:left="0" w:firstLine="516"/>
      </w:pPr>
      <w:r>
        <w:rPr>
          <w:rFonts w:hint="eastAsia" w:ascii="仿宋" w:hAnsi="仿宋" w:eastAsia="仿宋" w:cs="仿宋"/>
          <w:color w:val="333333"/>
          <w:sz w:val="25"/>
          <w:szCs w:val="25"/>
          <w:bdr w:val="none" w:color="auto" w:sz="0" w:space="0"/>
        </w:rPr>
        <w:t>遇有下列情况之一的，排除病理性改变，合格：</w:t>
      </w:r>
    </w:p>
    <w:p w14:paraId="0EC9C075">
      <w:pPr>
        <w:pStyle w:val="3"/>
        <w:keepNext w:val="0"/>
        <w:keepLines w:val="0"/>
        <w:widowControl/>
        <w:suppressLineNumbers w:val="0"/>
        <w:spacing w:line="480" w:lineRule="atLeast"/>
        <w:ind w:left="0" w:firstLine="516"/>
      </w:pPr>
      <w:r>
        <w:rPr>
          <w:rFonts w:hint="eastAsia" w:ascii="仿宋" w:hAnsi="仿宋" w:eastAsia="仿宋" w:cs="仿宋"/>
          <w:color w:val="333333"/>
          <w:sz w:val="25"/>
          <w:szCs w:val="25"/>
          <w:bdr w:val="none" w:color="auto" w:sz="0" w:space="0"/>
        </w:rPr>
        <w:t>（一）心脏听诊有杂音；</w:t>
      </w:r>
    </w:p>
    <w:p w14:paraId="63313E13">
      <w:pPr>
        <w:pStyle w:val="3"/>
        <w:keepNext w:val="0"/>
        <w:keepLines w:val="0"/>
        <w:widowControl/>
        <w:suppressLineNumbers w:val="0"/>
        <w:spacing w:line="480" w:lineRule="atLeast"/>
        <w:ind w:left="0" w:firstLine="516"/>
      </w:pPr>
      <w:r>
        <w:rPr>
          <w:rFonts w:hint="eastAsia" w:ascii="仿宋" w:hAnsi="仿宋" w:eastAsia="仿宋" w:cs="仿宋"/>
          <w:color w:val="333333"/>
          <w:sz w:val="25"/>
          <w:szCs w:val="25"/>
          <w:bdr w:val="none" w:color="auto" w:sz="0" w:space="0"/>
        </w:rPr>
        <w:t>（二）频发期前收缩；</w:t>
      </w:r>
    </w:p>
    <w:p w14:paraId="23A76B22">
      <w:pPr>
        <w:pStyle w:val="3"/>
        <w:keepNext w:val="0"/>
        <w:keepLines w:val="0"/>
        <w:widowControl/>
        <w:suppressLineNumbers w:val="0"/>
        <w:spacing w:line="480" w:lineRule="atLeast"/>
        <w:ind w:left="0" w:firstLine="516"/>
      </w:pPr>
      <w:r>
        <w:rPr>
          <w:rFonts w:hint="eastAsia" w:ascii="仿宋" w:hAnsi="仿宋" w:eastAsia="仿宋" w:cs="仿宋"/>
          <w:color w:val="333333"/>
          <w:sz w:val="25"/>
          <w:szCs w:val="25"/>
          <w:bdr w:val="none" w:color="auto" w:sz="0" w:space="0"/>
        </w:rPr>
        <w:t>（三）心率每分钟小于50次或大于110次；</w:t>
      </w:r>
    </w:p>
    <w:p w14:paraId="4E51BAD2">
      <w:pPr>
        <w:pStyle w:val="3"/>
        <w:keepNext w:val="0"/>
        <w:keepLines w:val="0"/>
        <w:widowControl/>
        <w:suppressLineNumbers w:val="0"/>
        <w:spacing w:line="480" w:lineRule="atLeast"/>
        <w:ind w:left="0" w:firstLine="516"/>
      </w:pPr>
      <w:r>
        <w:rPr>
          <w:rFonts w:hint="eastAsia" w:ascii="仿宋" w:hAnsi="仿宋" w:eastAsia="仿宋" w:cs="仿宋"/>
          <w:color w:val="333333"/>
          <w:sz w:val="25"/>
          <w:szCs w:val="25"/>
          <w:bdr w:val="none" w:color="auto" w:sz="0" w:space="0"/>
        </w:rPr>
        <w:t>（四）心电图有异常的其他情况。</w:t>
      </w:r>
    </w:p>
    <w:p w14:paraId="4D40001F">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第二条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血压在下列范围内，合格：收缩压小于140mmHg；舒张压小于90mmHg。</w:t>
      </w:r>
    </w:p>
    <w:p w14:paraId="15FA36AE">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第三条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血液系统疾病，不合格。单纯性缺铁性贫血，血红蛋白男性高于90g／L、女性高于80g／L，合格。</w:t>
      </w:r>
    </w:p>
    <w:p w14:paraId="42F3D0C1">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第四条</w:t>
      </w:r>
      <w:r>
        <w:rPr>
          <w:rFonts w:hint="default" w:ascii="仿宋_GB2312" w:hAnsi="微软雅黑" w:eastAsia="仿宋_GB2312" w:cs="仿宋_GB2312"/>
          <w:color w:val="333333"/>
          <w:sz w:val="25"/>
          <w:szCs w:val="25"/>
          <w:bdr w:val="none" w:color="auto" w:sz="0" w:space="0"/>
        </w:rPr>
        <w:t>      </w:t>
      </w:r>
      <w:r>
        <w:rPr>
          <w:rFonts w:hint="eastAsia" w:ascii="仿宋" w:hAnsi="仿宋" w:eastAsia="仿宋" w:cs="仿宋"/>
          <w:color w:val="333333"/>
          <w:sz w:val="25"/>
          <w:szCs w:val="25"/>
          <w:bdr w:val="none" w:color="auto" w:sz="0" w:space="0"/>
        </w:rPr>
        <w:t>结核病不合格。但下列情况合格：</w:t>
      </w:r>
    </w:p>
    <w:p w14:paraId="6E71F6BE">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（一）原发性肺结核、继发性肺结核、结核性胸膜炎，临床治愈后稳定1年无变化者；</w:t>
      </w:r>
    </w:p>
    <w:p w14:paraId="75CD6A39">
      <w:pPr>
        <w:pStyle w:val="3"/>
        <w:keepNext w:val="0"/>
        <w:keepLines w:val="0"/>
        <w:widowControl/>
        <w:suppressLineNumbers w:val="0"/>
        <w:spacing w:line="480" w:lineRule="atLeast"/>
        <w:ind w:left="0" w:firstLine="516"/>
        <w:jc w:val="both"/>
      </w:pPr>
      <w:r>
        <w:rPr>
          <w:rFonts w:hint="eastAsia" w:ascii="仿宋" w:hAnsi="仿宋" w:eastAsia="仿宋" w:cs="仿宋"/>
          <w:color w:val="333333"/>
          <w:sz w:val="25"/>
          <w:szCs w:val="25"/>
          <w:bdr w:val="none" w:color="auto" w:sz="0" w:space="0"/>
        </w:rPr>
        <w:t>（二）肺外结核病：肾结核、骨结核、腹膜结核、淋巴结核等，临床治愈后2年无复发，经专科医院检查无变化者。</w:t>
      </w:r>
    </w:p>
    <w:p w14:paraId="102E2BD6">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第五条</w:t>
      </w:r>
      <w:r>
        <w:rPr>
          <w:rFonts w:hint="default" w:ascii="仿宋_GB2312" w:hAnsi="微软雅黑" w:eastAsia="仿宋_GB2312" w:cs="仿宋_GB2312"/>
          <w:color w:val="333333"/>
          <w:sz w:val="25"/>
          <w:szCs w:val="25"/>
          <w:bdr w:val="none" w:color="auto" w:sz="0" w:space="0"/>
        </w:rPr>
        <w:t>       </w:t>
      </w:r>
      <w:r>
        <w:rPr>
          <w:rFonts w:hint="eastAsia" w:ascii="仿宋" w:hAnsi="仿宋" w:eastAsia="仿宋" w:cs="仿宋"/>
          <w:color w:val="333333"/>
          <w:sz w:val="25"/>
          <w:szCs w:val="25"/>
          <w:bdr w:val="none" w:color="auto" w:sz="0" w:space="0"/>
        </w:rPr>
        <w:t>慢性支气管炎伴阻塞性肺气肿、支气管扩张、支气管哮喘，不合格。</w:t>
      </w:r>
    </w:p>
    <w:p w14:paraId="68804D5D">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第六条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慢性胰腺炎、溃疡性结肠炎、克罗恩病等严重慢性消化系统疾病，不合格。胃次全切除术后无严重并发症者，合格。</w:t>
      </w:r>
    </w:p>
    <w:p w14:paraId="18DCB22C">
      <w:pPr>
        <w:pStyle w:val="3"/>
        <w:keepNext w:val="0"/>
        <w:keepLines w:val="0"/>
        <w:widowControl/>
        <w:suppressLineNumbers w:val="0"/>
        <w:spacing w:line="480" w:lineRule="atLeast"/>
        <w:ind w:left="0" w:firstLine="516"/>
      </w:pPr>
      <w:r>
        <w:rPr>
          <w:rFonts w:hint="eastAsia" w:ascii="黑体" w:hAnsi="宋体" w:eastAsia="黑体" w:cs="黑体"/>
          <w:color w:val="333333"/>
          <w:sz w:val="25"/>
          <w:szCs w:val="25"/>
          <w:bdr w:val="none" w:color="auto" w:sz="0" w:space="0"/>
        </w:rPr>
        <w:t>第七条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各种急慢性肝炎及肝硬化，不合格。</w:t>
      </w:r>
    </w:p>
    <w:p w14:paraId="4B22D6E5">
      <w:pPr>
        <w:pStyle w:val="3"/>
        <w:keepNext w:val="0"/>
        <w:keepLines w:val="0"/>
        <w:widowControl/>
        <w:suppressLineNumbers w:val="0"/>
        <w:spacing w:line="480" w:lineRule="atLeast"/>
        <w:ind w:left="0" w:firstLine="516"/>
      </w:pPr>
      <w:r>
        <w:rPr>
          <w:rFonts w:hint="eastAsia" w:ascii="黑体" w:hAnsi="宋体" w:eastAsia="黑体" w:cs="黑体"/>
          <w:color w:val="333333"/>
          <w:sz w:val="25"/>
          <w:szCs w:val="25"/>
          <w:bdr w:val="none" w:color="auto" w:sz="0" w:space="0"/>
        </w:rPr>
        <w:t>第八条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恶性肿瘤，不合格。</w:t>
      </w:r>
    </w:p>
    <w:p w14:paraId="6C4BC32B">
      <w:pPr>
        <w:pStyle w:val="3"/>
        <w:keepNext w:val="0"/>
        <w:keepLines w:val="0"/>
        <w:widowControl/>
        <w:suppressLineNumbers w:val="0"/>
        <w:spacing w:line="480" w:lineRule="atLeast"/>
        <w:ind w:left="0" w:firstLine="516"/>
      </w:pPr>
      <w:r>
        <w:rPr>
          <w:rFonts w:hint="eastAsia" w:ascii="黑体" w:hAnsi="宋体" w:eastAsia="黑体" w:cs="黑体"/>
          <w:color w:val="333333"/>
          <w:sz w:val="25"/>
          <w:szCs w:val="25"/>
          <w:bdr w:val="none" w:color="auto" w:sz="0" w:space="0"/>
        </w:rPr>
        <w:t>第九条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肾炎、慢性肾盂肾炎、多囊肾、肾功能不全，不合格。</w:t>
      </w:r>
    </w:p>
    <w:p w14:paraId="05D5CDC6">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第十条</w:t>
      </w:r>
      <w:r>
        <w:rPr>
          <w:rFonts w:hint="default" w:ascii="仿宋_GB2312" w:hAnsi="微软雅黑" w:eastAsia="仿宋_GB2312" w:cs="仿宋_GB2312"/>
          <w:color w:val="333333"/>
          <w:sz w:val="25"/>
          <w:szCs w:val="25"/>
          <w:bdr w:val="none" w:color="auto" w:sz="0" w:space="0"/>
        </w:rPr>
        <w:t>       </w:t>
      </w:r>
      <w:r>
        <w:rPr>
          <w:rFonts w:hint="eastAsia" w:ascii="仿宋" w:hAnsi="仿宋" w:eastAsia="仿宋" w:cs="仿宋"/>
          <w:color w:val="333333"/>
          <w:sz w:val="25"/>
          <w:szCs w:val="25"/>
          <w:bdr w:val="none" w:color="auto" w:sz="0" w:space="0"/>
        </w:rPr>
        <w:t>糖尿病、尿崩症、肢端肥大症等内分泌系统疾病，不合格。甲状腺功能亢进治愈后1年无症状和体征者，合格。</w:t>
      </w:r>
    </w:p>
    <w:p w14:paraId="5F62C40E">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第十一条</w:t>
      </w:r>
      <w:r>
        <w:rPr>
          <w:rFonts w:hint="default" w:ascii="仿宋_GB2312" w:hAnsi="微软雅黑" w:eastAsia="仿宋_GB2312" w:cs="仿宋_GB2312"/>
          <w:color w:val="333333"/>
          <w:sz w:val="25"/>
          <w:szCs w:val="25"/>
          <w:bdr w:val="none" w:color="auto" w:sz="0" w:space="0"/>
        </w:rPr>
        <w:t>      </w:t>
      </w:r>
      <w:r>
        <w:rPr>
          <w:rFonts w:hint="eastAsia" w:ascii="仿宋" w:hAnsi="仿宋" w:eastAsia="仿宋" w:cs="仿宋"/>
          <w:color w:val="333333"/>
          <w:sz w:val="25"/>
          <w:szCs w:val="25"/>
          <w:bdr w:val="none" w:color="auto" w:sz="0" w:space="0"/>
        </w:rPr>
        <w:t>有癫痫病史、精神病史、癔病史、夜游症、严重的神经官能症（经常头痛头晕、失眠、记忆力明显下降等），精神活性物质滥用和依赖者，不合格。</w:t>
      </w:r>
    </w:p>
    <w:p w14:paraId="2A43E8C3">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第十二条</w:t>
      </w:r>
      <w:r>
        <w:rPr>
          <w:rFonts w:hint="default" w:ascii="仿宋_GB2312" w:hAnsi="微软雅黑" w:eastAsia="仿宋_GB2312" w:cs="仿宋_GB2312"/>
          <w:color w:val="333333"/>
          <w:sz w:val="25"/>
          <w:szCs w:val="25"/>
          <w:bdr w:val="none" w:color="auto" w:sz="0" w:space="0"/>
        </w:rPr>
        <w:t>      </w:t>
      </w:r>
      <w:r>
        <w:rPr>
          <w:rFonts w:hint="eastAsia" w:ascii="仿宋" w:hAnsi="仿宋" w:eastAsia="仿宋" w:cs="仿宋"/>
          <w:color w:val="333333"/>
          <w:sz w:val="25"/>
          <w:szCs w:val="25"/>
          <w:bdr w:val="none" w:color="auto" w:sz="0" w:space="0"/>
        </w:rPr>
        <w:t>红斑狼疮、皮肌炎和/或多发性肌炎、硬皮病、结节性多动脉炎、类风湿性关节炎等各种弥漫性结缔组织疾病，大动脉炎，不合格。</w:t>
      </w:r>
    </w:p>
    <w:p w14:paraId="7F95819B">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第十三条    </w:t>
      </w:r>
      <w:r>
        <w:rPr>
          <w:rFonts w:hint="eastAsia" w:ascii="仿宋" w:hAnsi="仿宋" w:eastAsia="仿宋" w:cs="仿宋"/>
          <w:color w:val="333333"/>
          <w:sz w:val="25"/>
          <w:szCs w:val="25"/>
          <w:bdr w:val="none" w:color="auto" w:sz="0" w:space="0"/>
        </w:rPr>
        <w:t>晚期血吸虫病，晚期血丝虫病兼有橡皮肿或有乳糜尿，不合格。</w:t>
      </w:r>
    </w:p>
    <w:p w14:paraId="31E525BA">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第十四条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颅骨缺损、颅内异物存留、颅脑畸形、脑外伤后综合征，不合格。</w:t>
      </w:r>
    </w:p>
    <w:p w14:paraId="428FA5FF">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第十五条    </w:t>
      </w:r>
      <w:r>
        <w:rPr>
          <w:rFonts w:hint="eastAsia" w:ascii="仿宋" w:hAnsi="仿宋" w:eastAsia="仿宋" w:cs="仿宋"/>
          <w:color w:val="333333"/>
          <w:sz w:val="25"/>
          <w:szCs w:val="25"/>
          <w:bdr w:val="none" w:color="auto" w:sz="0" w:space="0"/>
        </w:rPr>
        <w:t>严重的慢性骨髓炎，不合格。</w:t>
      </w:r>
    </w:p>
    <w:p w14:paraId="03D251E5">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第十六条</w:t>
      </w:r>
      <w:r>
        <w:rPr>
          <w:rFonts w:hint="default" w:ascii="仿宋_GB2312" w:hAnsi="微软雅黑" w:eastAsia="仿宋_GB2312" w:cs="仿宋_GB2312"/>
          <w:color w:val="333333"/>
          <w:sz w:val="25"/>
          <w:szCs w:val="25"/>
          <w:bdr w:val="none" w:color="auto" w:sz="0" w:space="0"/>
        </w:rPr>
        <w:t>       </w:t>
      </w:r>
      <w:r>
        <w:rPr>
          <w:rFonts w:hint="eastAsia" w:ascii="仿宋" w:hAnsi="仿宋" w:eastAsia="仿宋" w:cs="仿宋"/>
          <w:color w:val="333333"/>
          <w:sz w:val="25"/>
          <w:szCs w:val="25"/>
          <w:bdr w:val="none" w:color="auto" w:sz="0" w:space="0"/>
        </w:rPr>
        <w:t>三度单纯性甲状腺肿，不合格。</w:t>
      </w:r>
    </w:p>
    <w:p w14:paraId="57FE4F89">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第十七条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有梗阻的胆结石或泌尿系结石，不合格</w:t>
      </w:r>
      <w:r>
        <w:rPr>
          <w:rFonts w:hint="default" w:ascii="仿宋_GB2312" w:hAnsi="微软雅黑" w:eastAsia="仿宋_GB2312" w:cs="仿宋_GB2312"/>
          <w:color w:val="333333"/>
          <w:sz w:val="25"/>
          <w:szCs w:val="25"/>
          <w:bdr w:val="none" w:color="auto" w:sz="0" w:space="0"/>
        </w:rPr>
        <w:t>。</w:t>
      </w:r>
    </w:p>
    <w:p w14:paraId="63A3B9C5">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第十八条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淋病、梅毒、软下疳、性病性淋巴肉芽肿、尖锐湿疣、生殖器疱疹，艾滋病，不合格。</w:t>
      </w:r>
    </w:p>
    <w:p w14:paraId="47561B1A">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第十九条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双眼矫正视力均低于4.8（小数视力0.6），一眼失明另一眼矫正视力低于4.9（小数视力0.8），有明显视功能损害眼病者，不合格。</w:t>
      </w:r>
    </w:p>
    <w:p w14:paraId="3A8DD738">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第二十条</w:t>
      </w:r>
      <w:r>
        <w:rPr>
          <w:rFonts w:hint="eastAsia" w:ascii="宋体" w:hAnsi="宋体" w:eastAsia="宋体" w:cs="宋体"/>
          <w:color w:val="333333"/>
          <w:sz w:val="25"/>
          <w:szCs w:val="25"/>
          <w:bdr w:val="none" w:color="auto" w:sz="0" w:space="0"/>
        </w:rPr>
        <w:t>  </w:t>
      </w:r>
      <w:r>
        <w:rPr>
          <w:rFonts w:hint="eastAsia" w:ascii="仿宋" w:hAnsi="仿宋" w:eastAsia="仿宋" w:cs="仿宋"/>
          <w:color w:val="333333"/>
          <w:sz w:val="25"/>
          <w:szCs w:val="25"/>
          <w:bdr w:val="none" w:color="auto" w:sz="0" w:space="0"/>
        </w:rPr>
        <w:t>双耳均有听力障碍，在使用人工听觉装置情况下，双耳在3米以内耳语仍听不见者，不合格。</w:t>
      </w:r>
    </w:p>
    <w:p w14:paraId="438FEAC4">
      <w:pPr>
        <w:pStyle w:val="3"/>
        <w:keepNext w:val="0"/>
        <w:keepLines w:val="0"/>
        <w:widowControl/>
        <w:suppressLineNumbers w:val="0"/>
        <w:spacing w:line="480" w:lineRule="atLeast"/>
        <w:ind w:left="0" w:firstLine="516"/>
        <w:jc w:val="both"/>
      </w:pPr>
      <w:r>
        <w:rPr>
          <w:rFonts w:hint="eastAsia" w:ascii="黑体" w:hAnsi="宋体" w:eastAsia="黑体" w:cs="黑体"/>
          <w:color w:val="333333"/>
          <w:sz w:val="25"/>
          <w:szCs w:val="25"/>
          <w:bdr w:val="none" w:color="auto" w:sz="0" w:space="0"/>
        </w:rPr>
        <w:t>第二十一条   </w:t>
      </w:r>
      <w:r>
        <w:rPr>
          <w:rFonts w:hint="eastAsia" w:ascii="仿宋" w:hAnsi="仿宋" w:eastAsia="仿宋" w:cs="仿宋"/>
          <w:color w:val="333333"/>
          <w:sz w:val="25"/>
          <w:szCs w:val="25"/>
          <w:bdr w:val="none" w:color="auto" w:sz="0" w:space="0"/>
        </w:rPr>
        <w:t>未纳入体检标准，影响正常履行职责的其他严重疾病，不合格。</w:t>
      </w:r>
    </w:p>
    <w:p w14:paraId="186A29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5C2F52"/>
    <w:rsid w:val="6F5C2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2025-12-29T08:44:00Z</dcterms:created>
  <dc:creator>奂永佳</dc:creator>
  <cp:lastModifiedBy>奂永佳</cp:lastModifiedBy>
  <dcterms:modified xsi:type="dcterms:W3CDTF">2025-12-29T08:44:29Z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AFECFE1B92C6411297AB5E2648656008_11</vt:lpwstr>
  </property>
  <property fmtid="{D5CDD505-2E9C-101B-9397-08002B2CF9AE}" pid="4" name="KSOTemplateDocerSaveRecord">
    <vt:lpwstr>eyJoZGlkIjoiYmZhYzk1ZDczMzg1ZDRkOWRjNzkyZTdhN2RiMThhYTkiLCJ1c2VySWQiOiIzOTI2MzM3NjgifQ==</vt:lpwstr>
  </property>
</Properties>
</file>