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8BAD8">
      <w:pPr>
        <w:widowControl/>
        <w:spacing w:line="560" w:lineRule="exact"/>
        <w:rPr>
          <w:rFonts w:hint="eastAsia" w:ascii="黑体" w:hAnsi="宋体" w:eastAsia="黑体" w:cs="宋体"/>
          <w:kern w:val="0"/>
          <w:sz w:val="34"/>
          <w:szCs w:val="34"/>
        </w:rPr>
      </w:pPr>
      <w:bookmarkStart w:id="1" w:name="_GoBack"/>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 xml:space="preserve"> </w:t>
      </w:r>
      <w:r>
        <w:rPr>
          <w:rFonts w:hint="eastAsia" w:ascii="黑体" w:hAnsi="宋体" w:eastAsia="黑体" w:cs="宋体"/>
          <w:kern w:val="0"/>
          <w:sz w:val="34"/>
          <w:szCs w:val="34"/>
        </w:rPr>
        <w:t xml:space="preserve">             </w:t>
      </w:r>
    </w:p>
    <w:p w14:paraId="2F4D0043">
      <w:pPr>
        <w:widowControl/>
        <w:spacing w:line="560" w:lineRule="exact"/>
        <w:jc w:val="center"/>
        <w:rPr>
          <w:rFonts w:hint="eastAsia" w:ascii="方正小标宋简体" w:eastAsia="方正小标宋简体"/>
          <w:b w:val="0"/>
          <w:bCs/>
          <w:sz w:val="32"/>
          <w:szCs w:val="32"/>
          <w:lang w:val="en-US" w:eastAsia="zh-CN"/>
        </w:rPr>
      </w:pPr>
      <w:r>
        <w:rPr>
          <w:rFonts w:hint="eastAsia" w:ascii="方正小标宋简体" w:eastAsia="方正小标宋简体"/>
          <w:b w:val="0"/>
          <w:bCs/>
          <w:sz w:val="32"/>
          <w:szCs w:val="32"/>
        </w:rPr>
        <w:t>202</w:t>
      </w:r>
      <w:r>
        <w:rPr>
          <w:rFonts w:hint="eastAsia" w:ascii="方正小标宋简体" w:eastAsia="方正小标宋简体"/>
          <w:b w:val="0"/>
          <w:bCs/>
          <w:sz w:val="32"/>
          <w:szCs w:val="32"/>
          <w:lang w:val="en-US" w:eastAsia="zh-CN"/>
        </w:rPr>
        <w:t>5</w:t>
      </w:r>
      <w:r>
        <w:rPr>
          <w:rFonts w:hint="eastAsia" w:ascii="方正小标宋简体" w:eastAsia="方正小标宋简体"/>
          <w:b w:val="0"/>
          <w:bCs/>
          <w:sz w:val="32"/>
          <w:szCs w:val="32"/>
        </w:rPr>
        <w:t>年</w:t>
      </w:r>
      <w:r>
        <w:rPr>
          <w:rFonts w:hint="eastAsia" w:ascii="方正小标宋简体" w:hAnsi="Times New Roman" w:eastAsia="方正小标宋简体" w:cs="Times New Roman"/>
          <w:b w:val="0"/>
          <w:bCs/>
          <w:sz w:val="32"/>
          <w:szCs w:val="32"/>
          <w:lang w:val="en-US" w:eastAsia="zh-CN"/>
        </w:rPr>
        <w:t>竹山县公开选聘教研员</w:t>
      </w:r>
      <w:r>
        <w:rPr>
          <w:rFonts w:hint="eastAsia" w:ascii="方正小标宋简体" w:hAnsi="Times New Roman" w:eastAsia="方正小标宋简体" w:cs="Times New Roman"/>
          <w:b w:val="0"/>
          <w:bCs/>
          <w:sz w:val="32"/>
          <w:szCs w:val="32"/>
          <w:lang w:eastAsia="zh-CN"/>
        </w:rPr>
        <w:t>教学实绩考核细则</w:t>
      </w:r>
    </w:p>
    <w:bookmarkEnd w:id="1"/>
    <w:tbl>
      <w:tblPr>
        <w:tblStyle w:val="2"/>
        <w:tblW w:w="13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574"/>
        <w:gridCol w:w="9303"/>
        <w:gridCol w:w="1696"/>
      </w:tblGrid>
      <w:tr w14:paraId="6157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08" w:type="dxa"/>
            <w:vAlign w:val="center"/>
          </w:tcPr>
          <w:p w14:paraId="7E902822">
            <w:pPr>
              <w:widowControl/>
              <w:spacing w:line="260" w:lineRule="exact"/>
              <w:jc w:val="center"/>
              <w:rPr>
                <w:rFonts w:hint="eastAsia" w:ascii="宋体" w:hAnsi="宋体" w:cs="宋体"/>
                <w:kern w:val="0"/>
                <w:sz w:val="21"/>
                <w:szCs w:val="21"/>
              </w:rPr>
            </w:pPr>
            <w:r>
              <w:rPr>
                <w:rFonts w:hint="eastAsia" w:ascii="宋体" w:hAnsi="宋体" w:cs="宋体"/>
                <w:b/>
                <w:bCs/>
                <w:kern w:val="0"/>
                <w:sz w:val="21"/>
                <w:szCs w:val="21"/>
              </w:rPr>
              <w:t>项目</w:t>
            </w:r>
          </w:p>
        </w:tc>
        <w:tc>
          <w:tcPr>
            <w:tcW w:w="574" w:type="dxa"/>
            <w:vAlign w:val="center"/>
          </w:tcPr>
          <w:p w14:paraId="5943388A">
            <w:pPr>
              <w:widowControl/>
              <w:spacing w:line="260" w:lineRule="exact"/>
              <w:jc w:val="center"/>
              <w:rPr>
                <w:rFonts w:hint="eastAsia" w:ascii="宋体" w:hAnsi="宋体" w:cs="宋体"/>
                <w:kern w:val="0"/>
                <w:sz w:val="21"/>
                <w:szCs w:val="21"/>
              </w:rPr>
            </w:pPr>
            <w:r>
              <w:rPr>
                <w:rFonts w:hint="eastAsia" w:ascii="宋体" w:hAnsi="宋体" w:cs="宋体"/>
                <w:b/>
                <w:bCs/>
                <w:kern w:val="0"/>
                <w:sz w:val="21"/>
                <w:szCs w:val="21"/>
              </w:rPr>
              <w:t>分值</w:t>
            </w:r>
          </w:p>
        </w:tc>
        <w:tc>
          <w:tcPr>
            <w:tcW w:w="9303" w:type="dxa"/>
            <w:vAlign w:val="center"/>
          </w:tcPr>
          <w:p w14:paraId="5634E0C1">
            <w:pPr>
              <w:widowControl/>
              <w:spacing w:line="260" w:lineRule="exact"/>
              <w:jc w:val="center"/>
              <w:rPr>
                <w:rFonts w:hint="eastAsia" w:ascii="宋体" w:hAnsi="宋体" w:cs="宋体"/>
                <w:kern w:val="0"/>
                <w:sz w:val="21"/>
                <w:szCs w:val="21"/>
              </w:rPr>
            </w:pPr>
            <w:r>
              <w:rPr>
                <w:rFonts w:hint="eastAsia" w:ascii="宋体" w:hAnsi="宋体" w:cs="宋体"/>
                <w:b/>
                <w:bCs/>
                <w:kern w:val="0"/>
                <w:sz w:val="21"/>
                <w:szCs w:val="21"/>
              </w:rPr>
              <w:t>评  分  细  则</w:t>
            </w:r>
          </w:p>
        </w:tc>
        <w:tc>
          <w:tcPr>
            <w:tcW w:w="1696" w:type="dxa"/>
            <w:vAlign w:val="center"/>
          </w:tcPr>
          <w:p w14:paraId="42C04A83">
            <w:pPr>
              <w:widowControl/>
              <w:spacing w:line="260" w:lineRule="exact"/>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eastAsia="zh-CN"/>
              </w:rPr>
              <w:t>证明材料</w:t>
            </w:r>
          </w:p>
        </w:tc>
      </w:tr>
      <w:tr w14:paraId="5F89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08" w:type="dxa"/>
            <w:vAlign w:val="center"/>
          </w:tcPr>
          <w:p w14:paraId="114DE24C">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教学成绩</w:t>
            </w:r>
          </w:p>
        </w:tc>
        <w:tc>
          <w:tcPr>
            <w:tcW w:w="574" w:type="dxa"/>
            <w:vAlign w:val="center"/>
          </w:tcPr>
          <w:p w14:paraId="39CCFDB8">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w:t>
            </w:r>
          </w:p>
        </w:tc>
        <w:tc>
          <w:tcPr>
            <w:tcW w:w="9303" w:type="dxa"/>
            <w:vAlign w:val="center"/>
          </w:tcPr>
          <w:p w14:paraId="7C1CA570">
            <w:pPr>
              <w:widowControl/>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近6年内（2020、2021、2022、2023、2024、2025）在初中毕业生学业考试道德与法治学科曾获得全县一、二、三等奖</w:t>
            </w:r>
            <w:r>
              <w:rPr>
                <w:rFonts w:hint="eastAsia" w:ascii="仿宋_GB2312" w:hAnsi="仿宋_GB2312" w:eastAsia="仿宋_GB2312" w:cs="仿宋_GB2312"/>
                <w:color w:val="auto"/>
                <w:kern w:val="0"/>
                <w:sz w:val="24"/>
                <w:szCs w:val="24"/>
                <w:lang w:val="en-US" w:eastAsia="zh-CN"/>
              </w:rPr>
              <w:t>分别计80、70、60分；</w:t>
            </w:r>
          </w:p>
          <w:p w14:paraId="6DEDE877">
            <w:pPr>
              <w:widowControl/>
              <w:spacing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近6年内（2020、2021、2022、2023、2024、2025）在初中毕业生学业考试或小学毕业年级教学质量检测中语文学科曾获得全县一、二、三等奖</w:t>
            </w:r>
            <w:r>
              <w:rPr>
                <w:rFonts w:hint="eastAsia" w:ascii="仿宋_GB2312" w:hAnsi="仿宋_GB2312" w:eastAsia="仿宋_GB2312" w:cs="仿宋_GB2312"/>
                <w:color w:val="auto"/>
                <w:kern w:val="0"/>
                <w:sz w:val="24"/>
                <w:szCs w:val="24"/>
                <w:lang w:val="en-US" w:eastAsia="zh-CN"/>
              </w:rPr>
              <w:t>分别计80、70、60分。</w:t>
            </w:r>
          </w:p>
          <w:p w14:paraId="675A0892">
            <w:pPr>
              <w:widowControl/>
              <w:spacing w:line="240" w:lineRule="auto"/>
              <w:jc w:val="left"/>
              <w:rPr>
                <w:rFonts w:hint="eastAsia" w:ascii="仿宋_GB2312" w:hAnsi="仿宋_GB2312" w:eastAsia="仿宋_GB2312" w:cs="仿宋_GB2312"/>
                <w:color w:val="FF0000"/>
                <w:kern w:val="0"/>
                <w:sz w:val="24"/>
                <w:szCs w:val="24"/>
                <w:lang w:val="en-US"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以最高</w:t>
            </w:r>
            <w:r>
              <w:rPr>
                <w:rFonts w:hint="eastAsia" w:ascii="仿宋_GB2312" w:hAnsi="仿宋_GB2312" w:eastAsia="仿宋_GB2312" w:cs="仿宋_GB2312"/>
                <w:color w:val="auto"/>
                <w:kern w:val="0"/>
                <w:sz w:val="24"/>
                <w:szCs w:val="24"/>
                <w:lang w:val="en-US" w:eastAsia="zh-CN"/>
              </w:rPr>
              <w:t>奖项</w:t>
            </w:r>
            <w:r>
              <w:rPr>
                <w:rFonts w:hint="eastAsia" w:ascii="仿宋_GB2312" w:hAnsi="仿宋_GB2312" w:eastAsia="仿宋_GB2312" w:cs="仿宋_GB2312"/>
                <w:color w:val="auto"/>
                <w:kern w:val="0"/>
                <w:sz w:val="24"/>
                <w:szCs w:val="24"/>
              </w:rPr>
              <w:t>为准，不重复计算</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br w:type="textWrapping"/>
            </w:r>
          </w:p>
        </w:tc>
        <w:tc>
          <w:tcPr>
            <w:tcW w:w="1696" w:type="dxa"/>
            <w:vAlign w:val="center"/>
          </w:tcPr>
          <w:p w14:paraId="7B716783">
            <w:pPr>
              <w:widowControl/>
              <w:spacing w:line="2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获奖证书原件</w:t>
            </w:r>
          </w:p>
        </w:tc>
      </w:tr>
      <w:tr w14:paraId="64DB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08" w:type="dxa"/>
            <w:vAlign w:val="center"/>
          </w:tcPr>
          <w:p w14:paraId="6DC31BAF">
            <w:pPr>
              <w:widowControl/>
              <w:spacing w:line="2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教学能力</w:t>
            </w:r>
          </w:p>
        </w:tc>
        <w:tc>
          <w:tcPr>
            <w:tcW w:w="574" w:type="dxa"/>
            <w:vAlign w:val="center"/>
          </w:tcPr>
          <w:p w14:paraId="714D2E9D">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9303" w:type="dxa"/>
            <w:vAlign w:val="center"/>
          </w:tcPr>
          <w:p w14:paraId="0414BF9E">
            <w:pPr>
              <w:widowControl/>
              <w:spacing w:line="240" w:lineRule="auto"/>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kern w:val="0"/>
                <w:sz w:val="24"/>
                <w:szCs w:val="24"/>
              </w:rPr>
              <w:t>与</w:t>
            </w:r>
            <w:r>
              <w:rPr>
                <w:rFonts w:hint="eastAsia" w:ascii="仿宋_GB2312" w:hAnsi="仿宋_GB2312" w:eastAsia="仿宋_GB2312" w:cs="仿宋_GB2312"/>
                <w:color w:val="000000"/>
                <w:kern w:val="0"/>
                <w:sz w:val="24"/>
                <w:szCs w:val="24"/>
                <w:lang w:eastAsia="zh-CN"/>
              </w:rPr>
              <w:t>所报学科有</w:t>
            </w:r>
            <w:r>
              <w:rPr>
                <w:rFonts w:hint="eastAsia" w:ascii="仿宋_GB2312" w:hAnsi="仿宋_GB2312" w:eastAsia="仿宋_GB2312" w:cs="仿宋_GB2312"/>
                <w:color w:val="000000"/>
                <w:kern w:val="0"/>
                <w:sz w:val="24"/>
                <w:szCs w:val="24"/>
              </w:rPr>
              <w:t>关</w:t>
            </w:r>
            <w:r>
              <w:rPr>
                <w:rFonts w:hint="eastAsia" w:ascii="仿宋_GB2312" w:hAnsi="仿宋_GB2312" w:eastAsia="仿宋_GB2312" w:cs="仿宋_GB2312"/>
                <w:color w:val="000000"/>
                <w:kern w:val="0"/>
                <w:sz w:val="24"/>
                <w:szCs w:val="24"/>
                <w:lang w:eastAsia="zh-CN"/>
              </w:rPr>
              <w:t>的</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教学竞</w:t>
            </w:r>
            <w:r>
              <w:rPr>
                <w:rFonts w:hint="eastAsia" w:ascii="仿宋_GB2312" w:hAnsi="仿宋_GB2312" w:eastAsia="仿宋_GB2312" w:cs="仿宋_GB2312"/>
                <w:color w:val="000000" w:themeColor="text1"/>
                <w:kern w:val="0"/>
                <w:sz w:val="24"/>
                <w:szCs w:val="24"/>
                <w14:textFill>
                  <w14:solidFill>
                    <w14:schemeClr w14:val="tx1"/>
                  </w14:solidFill>
                </w14:textFill>
              </w:rPr>
              <w:t>赛</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，不含辅导奖。</w:t>
            </w:r>
          </w:p>
          <w:p w14:paraId="20388F83">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课内比教学（</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10分）：</w:t>
            </w:r>
            <w:r>
              <w:rPr>
                <w:rFonts w:hint="eastAsia" w:ascii="仿宋_GB2312" w:hAnsi="仿宋_GB2312" w:eastAsia="仿宋_GB2312" w:cs="仿宋_GB2312"/>
                <w:kern w:val="0"/>
                <w:sz w:val="24"/>
                <w:szCs w:val="24"/>
                <w:lang w:val="en-US" w:eastAsia="zh-CN"/>
              </w:rPr>
              <w:t>荣获</w:t>
            </w:r>
            <w:r>
              <w:rPr>
                <w:rFonts w:hint="eastAsia" w:ascii="仿宋_GB2312" w:hAnsi="仿宋_GB2312" w:eastAsia="仿宋_GB2312" w:cs="仿宋_GB2312"/>
                <w:color w:val="000000" w:themeColor="text1"/>
                <w:kern w:val="0"/>
                <w:sz w:val="24"/>
                <w:szCs w:val="24"/>
                <w14:textFill>
                  <w14:solidFill>
                    <w14:schemeClr w14:val="tx1"/>
                  </w14:solidFill>
                </w14:textFill>
              </w:rPr>
              <w:t>省级一、二、三等奖计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8、6、4</w:t>
            </w:r>
            <w:r>
              <w:rPr>
                <w:rFonts w:hint="eastAsia" w:ascii="仿宋_GB2312" w:hAnsi="仿宋_GB2312" w:eastAsia="仿宋_GB2312" w:cs="仿宋_GB2312"/>
                <w:color w:val="000000" w:themeColor="text1"/>
                <w:kern w:val="0"/>
                <w:sz w:val="24"/>
                <w:szCs w:val="24"/>
                <w14:textFill>
                  <w14:solidFill>
                    <w14:schemeClr w14:val="tx1"/>
                  </w14:solidFill>
                </w14:textFill>
              </w:rPr>
              <w:t>分；县级一、二、三等奖计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14:paraId="7FCCD865">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2.学科素养大赛（10分）：</w:t>
            </w:r>
            <w:r>
              <w:rPr>
                <w:rFonts w:hint="eastAsia" w:ascii="仿宋_GB2312" w:hAnsi="仿宋_GB2312" w:eastAsia="仿宋_GB2312" w:cs="仿宋_GB2312"/>
                <w:color w:val="000000" w:themeColor="text1"/>
                <w:kern w:val="0"/>
                <w:sz w:val="24"/>
                <w:szCs w:val="24"/>
                <w14:textFill>
                  <w14:solidFill>
                    <w14:schemeClr w14:val="tx1"/>
                  </w14:solidFill>
                </w14:textFill>
              </w:rPr>
              <w:t>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14:paraId="5736DF32">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3.湖北好课堂（10分）：</w:t>
            </w:r>
            <w:r>
              <w:rPr>
                <w:rFonts w:hint="eastAsia" w:ascii="仿宋_GB2312" w:hAnsi="仿宋_GB2312" w:eastAsia="仿宋_GB2312" w:cs="仿宋_GB2312"/>
                <w:kern w:val="0"/>
                <w:sz w:val="24"/>
                <w:szCs w:val="24"/>
                <w:lang w:val="en-US" w:eastAsia="zh-CN"/>
              </w:rPr>
              <w:t>荣获</w:t>
            </w:r>
            <w:r>
              <w:rPr>
                <w:rFonts w:hint="eastAsia" w:ascii="仿宋_GB2312" w:hAnsi="仿宋_GB2312" w:eastAsia="仿宋_GB2312" w:cs="仿宋_GB2312"/>
                <w:color w:val="000000" w:themeColor="text1"/>
                <w:kern w:val="0"/>
                <w:sz w:val="24"/>
                <w:szCs w:val="24"/>
                <w14:textFill>
                  <w14:solidFill>
                    <w14:schemeClr w14:val="tx1"/>
                  </w14:solidFill>
                </w14:textFill>
              </w:rPr>
              <w:t>省级一、二、三等奖计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8、6、4</w:t>
            </w:r>
            <w:r>
              <w:rPr>
                <w:rFonts w:hint="eastAsia" w:ascii="仿宋_GB2312" w:hAnsi="仿宋_GB2312" w:eastAsia="仿宋_GB2312" w:cs="仿宋_GB2312"/>
                <w:color w:val="000000" w:themeColor="text1"/>
                <w:kern w:val="0"/>
                <w:sz w:val="24"/>
                <w:szCs w:val="24"/>
                <w14:textFill>
                  <w14:solidFill>
                    <w14:schemeClr w14:val="tx1"/>
                  </w14:solidFill>
                </w14:textFill>
              </w:rPr>
              <w:t>分；县级一、二、三等奖计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14:paraId="36C2B997">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微课</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大赛</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10分）：</w:t>
            </w:r>
            <w:r>
              <w:rPr>
                <w:rFonts w:hint="eastAsia" w:ascii="仿宋_GB2312" w:hAnsi="仿宋_GB2312" w:eastAsia="仿宋_GB2312" w:cs="仿宋_GB2312"/>
                <w:kern w:val="0"/>
                <w:sz w:val="24"/>
                <w:szCs w:val="24"/>
                <w:lang w:val="en-US" w:eastAsia="zh-CN"/>
              </w:rPr>
              <w:t>荣获</w:t>
            </w:r>
            <w:r>
              <w:rPr>
                <w:rFonts w:hint="eastAsia" w:ascii="仿宋_GB2312" w:hAnsi="仿宋_GB2312" w:eastAsia="仿宋_GB2312" w:cs="仿宋_GB2312"/>
                <w:color w:val="000000" w:themeColor="text1"/>
                <w:kern w:val="0"/>
                <w:sz w:val="24"/>
                <w:szCs w:val="24"/>
                <w14:textFill>
                  <w14:solidFill>
                    <w14:schemeClr w14:val="tx1"/>
                  </w14:solidFill>
                </w14:textFill>
              </w:rPr>
              <w:t>省级一、二、三等奖计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8、6、4</w:t>
            </w:r>
            <w:r>
              <w:rPr>
                <w:rFonts w:hint="eastAsia" w:ascii="仿宋_GB2312" w:hAnsi="仿宋_GB2312" w:eastAsia="仿宋_GB2312" w:cs="仿宋_GB2312"/>
                <w:color w:val="000000" w:themeColor="text1"/>
                <w:kern w:val="0"/>
                <w:sz w:val="24"/>
                <w:szCs w:val="24"/>
                <w14:textFill>
                  <w14:solidFill>
                    <w14:schemeClr w14:val="tx1"/>
                  </w14:solidFill>
                </w14:textFill>
              </w:rPr>
              <w:t>分；县级一、二、三等奖计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14:paraId="2986B0A2">
            <w:pPr>
              <w:widowControl/>
              <w:numPr>
                <w:ilvl w:val="0"/>
                <w:numId w:val="0"/>
              </w:numPr>
              <w:spacing w:line="240" w:lineRule="auto"/>
              <w:jc w:val="left"/>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5.“班班通”应用竞赛或国家中小学</w:t>
            </w:r>
            <w:r>
              <w:rPr>
                <w:rFonts w:hint="eastAsia" w:ascii="仿宋_GB2312" w:hAnsi="仿宋_GB2312" w:eastAsia="仿宋_GB2312" w:cs="仿宋_GB2312"/>
                <w:kern w:val="0"/>
                <w:sz w:val="24"/>
                <w:szCs w:val="24"/>
                <w:lang w:val="en-US" w:eastAsia="zh-CN"/>
              </w:rPr>
              <w:t>智慧教育平台应用竞赛</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（10分）：</w:t>
            </w:r>
            <w:r>
              <w:rPr>
                <w:rFonts w:hint="eastAsia" w:ascii="仿宋_GB2312" w:hAnsi="仿宋_GB2312" w:eastAsia="仿宋_GB2312" w:cs="仿宋_GB2312"/>
                <w:kern w:val="0"/>
                <w:sz w:val="24"/>
                <w:szCs w:val="24"/>
                <w:lang w:val="en-US" w:eastAsia="zh-CN"/>
              </w:rPr>
              <w:t>荣获县级一、二、三等奖计10、8、6分。（</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14:paraId="05FB525E">
            <w:pPr>
              <w:widowControl/>
              <w:numPr>
                <w:ilvl w:val="0"/>
                <w:numId w:val="0"/>
              </w:numPr>
              <w:spacing w:line="240" w:lineRule="auto"/>
              <w:ind w:leftChars="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6.精品课（10分）：</w:t>
            </w:r>
            <w:r>
              <w:rPr>
                <w:rFonts w:hint="eastAsia" w:ascii="仿宋_GB2312" w:hAnsi="仿宋_GB2312" w:eastAsia="仿宋_GB2312" w:cs="仿宋_GB2312"/>
                <w:kern w:val="0"/>
                <w:sz w:val="24"/>
                <w:szCs w:val="24"/>
                <w:lang w:val="en-US" w:eastAsia="zh-CN"/>
              </w:rPr>
              <w:t>荣获</w:t>
            </w:r>
            <w:r>
              <w:rPr>
                <w:rFonts w:hint="eastAsia" w:ascii="仿宋_GB2312" w:hAnsi="仿宋_GB2312" w:eastAsia="仿宋_GB2312" w:cs="仿宋_GB2312"/>
                <w:color w:val="000000" w:themeColor="text1"/>
                <w:kern w:val="0"/>
                <w:sz w:val="24"/>
                <w:szCs w:val="24"/>
                <w14:textFill>
                  <w14:solidFill>
                    <w14:schemeClr w14:val="tx1"/>
                  </w14:solidFill>
                </w14:textFill>
              </w:rPr>
              <w:t>省级一、二、三等奖计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分；市级一、二、三等奖计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8、6、4</w:t>
            </w:r>
            <w:r>
              <w:rPr>
                <w:rFonts w:hint="eastAsia" w:ascii="仿宋_GB2312" w:hAnsi="仿宋_GB2312" w:eastAsia="仿宋_GB2312" w:cs="仿宋_GB2312"/>
                <w:color w:val="000000" w:themeColor="text1"/>
                <w:kern w:val="0"/>
                <w:sz w:val="24"/>
                <w:szCs w:val="24"/>
                <w14:textFill>
                  <w14:solidFill>
                    <w14:schemeClr w14:val="tx1"/>
                  </w14:solidFill>
                </w14:textFill>
              </w:rPr>
              <w:t>分；县级一、二、三等奖计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24"/>
                <w:szCs w:val="24"/>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14:textFill>
                  <w14:solidFill>
                    <w14:schemeClr w14:val="tx1"/>
                  </w14:solidFill>
                </w14:textFill>
              </w:rPr>
              <w:t>分</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p>
          <w:p w14:paraId="6A863D76">
            <w:pPr>
              <w:widowControl/>
              <w:numPr>
                <w:ilvl w:val="0"/>
                <w:numId w:val="0"/>
              </w:numPr>
              <w:spacing w:line="240" w:lineRule="auto"/>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以上6项不重复计算，取单项最高分。</w:t>
            </w:r>
          </w:p>
        </w:tc>
        <w:tc>
          <w:tcPr>
            <w:tcW w:w="1696" w:type="dxa"/>
            <w:vAlign w:val="center"/>
          </w:tcPr>
          <w:p w14:paraId="05FEE763">
            <w:pPr>
              <w:widowControl/>
              <w:spacing w:line="2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获奖证书原件</w:t>
            </w:r>
          </w:p>
        </w:tc>
      </w:tr>
      <w:tr w14:paraId="5FD2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1708" w:type="dxa"/>
            <w:vAlign w:val="center"/>
          </w:tcPr>
          <w:p w14:paraId="6C6B3DAD">
            <w:pPr>
              <w:widowControl/>
              <w:spacing w:line="2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教研水平</w:t>
            </w:r>
          </w:p>
        </w:tc>
        <w:tc>
          <w:tcPr>
            <w:tcW w:w="574" w:type="dxa"/>
            <w:vAlign w:val="center"/>
          </w:tcPr>
          <w:p w14:paraId="2F491C97">
            <w:pPr>
              <w:widowControl/>
              <w:spacing w:line="2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9303" w:type="dxa"/>
            <w:vAlign w:val="center"/>
          </w:tcPr>
          <w:p w14:paraId="69786F73">
            <w:pPr>
              <w:widowControl/>
              <w:numPr>
                <w:ilvl w:val="0"/>
                <w:numId w:val="1"/>
              </w:numPr>
              <w:spacing w:line="240" w:lineRule="auto"/>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kern w:val="0"/>
                <w:sz w:val="24"/>
                <w:szCs w:val="24"/>
                <w:lang w:eastAsia="zh-CN"/>
              </w:rPr>
              <w:t>在教育行政主管部门主管（或主办）的正规的教育教学刊物上发表的教育教学论文、著述（</w:t>
            </w:r>
            <w:r>
              <w:rPr>
                <w:rFonts w:hint="eastAsia" w:ascii="仿宋_GB2312" w:hAnsi="仿宋_GB2312" w:eastAsia="仿宋_GB2312" w:cs="仿宋_GB2312"/>
                <w:kern w:val="0"/>
                <w:sz w:val="24"/>
                <w:szCs w:val="24"/>
                <w:lang w:val="en-US" w:eastAsia="zh-CN"/>
              </w:rPr>
              <w:t>10分），国家、省、市级分别计10、8、6分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有正规刊号、邮发代号、</w:t>
            </w:r>
            <w:r>
              <w:rPr>
                <w:rFonts w:hint="eastAsia" w:ascii="仿宋_GB2312" w:hAnsi="仿宋_GB2312" w:eastAsia="仿宋_GB2312" w:cs="仿宋_GB2312"/>
                <w:sz w:val="24"/>
                <w:szCs w:val="24"/>
              </w:rPr>
              <w:t>能在《</w:t>
            </w:r>
            <w:bookmarkStart w:id="0" w:name="OLE_LINK1"/>
            <w:r>
              <w:rPr>
                <w:rFonts w:hint="eastAsia" w:ascii="仿宋_GB2312" w:hAnsi="仿宋_GB2312" w:eastAsia="仿宋_GB2312" w:cs="仿宋_GB2312"/>
                <w:sz w:val="24"/>
                <w:szCs w:val="24"/>
              </w:rPr>
              <w:t>新闻出版总署期刊查询官网</w:t>
            </w:r>
            <w:bookmarkEnd w:id="0"/>
            <w:r>
              <w:rPr>
                <w:rFonts w:hint="eastAsia" w:ascii="仿宋_GB2312" w:hAnsi="仿宋_GB2312" w:eastAsia="仿宋_GB2312" w:cs="仿宋_GB2312"/>
                <w:sz w:val="24"/>
                <w:szCs w:val="24"/>
              </w:rPr>
              <w:t>》检索到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kern w:val="0"/>
                <w:sz w:val="24"/>
                <w:szCs w:val="24"/>
              </w:rPr>
              <w:t>不含论文集和增刊以及相关学科各级各类学术会议的交流材料，均为独撰或第一作者)</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color w:val="000000"/>
                <w:kern w:val="0"/>
                <w:sz w:val="24"/>
                <w:szCs w:val="24"/>
                <w:lang w:val="en-US" w:eastAsia="zh-CN"/>
              </w:rPr>
              <w:t xml:space="preserve"> </w:t>
            </w:r>
          </w:p>
          <w:p w14:paraId="45A34C34">
            <w:pPr>
              <w:widowControl/>
              <w:numPr>
                <w:ilvl w:val="0"/>
                <w:numId w:val="1"/>
              </w:numPr>
              <w:spacing w:line="240" w:lineRule="auto"/>
              <w:ind w:left="0" w:leftChars="0" w:firstLine="0" w:firstLineChars="0"/>
              <w:jc w:val="left"/>
              <w:rPr>
                <w:rFonts w:hint="eastAsia" w:ascii="仿宋_GB2312" w:hAnsi="仿宋_GB2312" w:eastAsia="仿宋_GB2312" w:cs="仿宋_GB2312"/>
                <w:i w:val="0"/>
                <w:caps w:val="0"/>
                <w:color w:val="000000"/>
                <w:spacing w:val="0"/>
                <w:sz w:val="24"/>
                <w:szCs w:val="24"/>
                <w:lang w:val="en-US" w:eastAsia="zh-CN"/>
              </w:rPr>
            </w:pPr>
            <w:r>
              <w:rPr>
                <w:rFonts w:hint="eastAsia" w:ascii="仿宋_GB2312" w:hAnsi="仿宋_GB2312" w:eastAsia="仿宋_GB2312" w:cs="仿宋_GB2312"/>
                <w:i w:val="0"/>
                <w:caps w:val="0"/>
                <w:color w:val="000000"/>
                <w:spacing w:val="0"/>
                <w:sz w:val="24"/>
                <w:szCs w:val="24"/>
              </w:rPr>
              <w:t>主持或参与</w:t>
            </w:r>
            <w:r>
              <w:rPr>
                <w:rFonts w:hint="eastAsia" w:ascii="仿宋_GB2312" w:hAnsi="仿宋_GB2312" w:eastAsia="仿宋_GB2312" w:cs="仿宋_GB2312"/>
                <w:i w:val="0"/>
                <w:caps w:val="0"/>
                <w:color w:val="000000"/>
                <w:spacing w:val="0"/>
                <w:sz w:val="24"/>
                <w:szCs w:val="24"/>
                <w:lang w:eastAsia="zh-CN"/>
              </w:rPr>
              <w:t>县</w:t>
            </w:r>
            <w:r>
              <w:rPr>
                <w:rFonts w:hint="eastAsia" w:ascii="仿宋_GB2312" w:hAnsi="仿宋_GB2312" w:eastAsia="仿宋_GB2312" w:cs="仿宋_GB2312"/>
                <w:i w:val="0"/>
                <w:caps w:val="0"/>
                <w:color w:val="000000"/>
                <w:spacing w:val="0"/>
                <w:sz w:val="24"/>
                <w:szCs w:val="24"/>
              </w:rPr>
              <w:t>级及以上教育科学研究院（所）组织立项的教育科学规划课题研究工作（前5位研究人员），</w:t>
            </w:r>
            <w:r>
              <w:rPr>
                <w:rFonts w:hint="eastAsia" w:ascii="仿宋_GB2312" w:hAnsi="仿宋_GB2312" w:eastAsia="仿宋_GB2312" w:cs="仿宋_GB2312"/>
                <w:i w:val="0"/>
                <w:caps w:val="0"/>
                <w:color w:val="000000"/>
                <w:spacing w:val="0"/>
                <w:sz w:val="24"/>
                <w:szCs w:val="24"/>
                <w:lang w:eastAsia="zh-CN"/>
              </w:rPr>
              <w:t>并已经结题（</w:t>
            </w:r>
            <w:r>
              <w:rPr>
                <w:rFonts w:hint="eastAsia" w:ascii="仿宋_GB2312" w:hAnsi="仿宋_GB2312" w:eastAsia="仿宋_GB2312" w:cs="仿宋_GB2312"/>
                <w:i w:val="0"/>
                <w:caps w:val="0"/>
                <w:color w:val="000000"/>
                <w:spacing w:val="0"/>
                <w:sz w:val="24"/>
                <w:szCs w:val="24"/>
                <w:lang w:val="en-US" w:eastAsia="zh-CN"/>
              </w:rPr>
              <w:t>10分）。省、市、县级，主持人分别计10、8、6分，</w:t>
            </w:r>
            <w:r>
              <w:rPr>
                <w:rFonts w:hint="eastAsia" w:ascii="仿宋_GB2312" w:hAnsi="仿宋_GB2312" w:eastAsia="仿宋_GB2312" w:cs="仿宋_GB2312"/>
                <w:i w:val="0"/>
                <w:caps w:val="0"/>
                <w:color w:val="000000"/>
                <w:spacing w:val="0"/>
                <w:sz w:val="24"/>
                <w:szCs w:val="24"/>
              </w:rPr>
              <w:t>研究人员</w:t>
            </w:r>
            <w:r>
              <w:rPr>
                <w:rFonts w:hint="eastAsia" w:ascii="仿宋_GB2312" w:hAnsi="仿宋_GB2312" w:eastAsia="仿宋_GB2312" w:cs="仿宋_GB2312"/>
                <w:i w:val="0"/>
                <w:caps w:val="0"/>
                <w:color w:val="000000"/>
                <w:spacing w:val="0"/>
                <w:sz w:val="24"/>
                <w:szCs w:val="24"/>
                <w:lang w:eastAsia="zh-CN"/>
              </w:rPr>
              <w:t>分别计</w:t>
            </w:r>
            <w:r>
              <w:rPr>
                <w:rFonts w:hint="eastAsia" w:ascii="仿宋_GB2312" w:hAnsi="仿宋_GB2312" w:eastAsia="仿宋_GB2312" w:cs="仿宋_GB2312"/>
                <w:i w:val="0"/>
                <w:caps w:val="0"/>
                <w:color w:val="000000"/>
                <w:spacing w:val="0"/>
                <w:sz w:val="24"/>
                <w:szCs w:val="24"/>
                <w:lang w:val="en-US" w:eastAsia="zh-CN"/>
              </w:rPr>
              <w:t>8、6、4分（各种教育学会或其他机构组织的不算）。</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color w:val="000000"/>
                <w:kern w:val="0"/>
                <w:sz w:val="24"/>
                <w:szCs w:val="24"/>
                <w:lang w:val="en-US" w:eastAsia="zh-CN"/>
              </w:rPr>
              <w:t xml:space="preserve"> </w:t>
            </w:r>
          </w:p>
          <w:p w14:paraId="2D3F342F">
            <w:pPr>
              <w:widowControl/>
              <w:numPr>
                <w:ilvl w:val="0"/>
                <w:numId w:val="1"/>
              </w:numPr>
              <w:spacing w:line="240" w:lineRule="auto"/>
              <w:ind w:left="0" w:leftChars="0" w:firstLine="0" w:firstLineChars="0"/>
              <w:jc w:val="left"/>
              <w:rPr>
                <w:rFonts w:hint="eastAsia" w:ascii="仿宋_GB2312" w:hAnsi="仿宋_GB2312" w:eastAsia="仿宋_GB2312" w:cs="仿宋_GB2312"/>
                <w:i w:val="0"/>
                <w:caps w:val="0"/>
                <w:color w:val="000000"/>
                <w:spacing w:val="0"/>
                <w:sz w:val="24"/>
                <w:szCs w:val="24"/>
                <w:lang w:val="en-US" w:eastAsia="zh-CN"/>
              </w:rPr>
            </w:pPr>
            <w:r>
              <w:rPr>
                <w:rFonts w:hint="eastAsia" w:ascii="仿宋_GB2312" w:hAnsi="仿宋_GB2312" w:eastAsia="仿宋_GB2312" w:cs="仿宋_GB2312"/>
                <w:i w:val="0"/>
                <w:caps w:val="0"/>
                <w:color w:val="000000"/>
                <w:spacing w:val="0"/>
                <w:sz w:val="24"/>
                <w:szCs w:val="24"/>
                <w:lang w:val="en-US" w:eastAsia="zh-CN"/>
              </w:rPr>
              <w:t>省、市、县教育科研机构征集的教科研成果（10分）分别计10、8、6分.（</w:t>
            </w:r>
            <w:r>
              <w:rPr>
                <w:rFonts w:hint="eastAsia" w:ascii="仿宋_GB2312" w:hAnsi="仿宋_GB2312" w:eastAsia="仿宋_GB2312" w:cs="仿宋_GB2312"/>
                <w:kern w:val="0"/>
                <w:sz w:val="24"/>
                <w:szCs w:val="24"/>
              </w:rPr>
              <w:t>以最高级别为准，不重复计算</w:t>
            </w:r>
            <w:r>
              <w:rPr>
                <w:rFonts w:hint="eastAsia" w:ascii="仿宋_GB2312" w:hAnsi="仿宋_GB2312" w:eastAsia="仿宋_GB2312" w:cs="仿宋_GB2312"/>
                <w:kern w:val="0"/>
                <w:sz w:val="24"/>
                <w:szCs w:val="24"/>
                <w:lang w:eastAsia="zh-CN"/>
              </w:rPr>
              <w:t>）</w:t>
            </w:r>
          </w:p>
          <w:p w14:paraId="5C988052">
            <w:pPr>
              <w:widowControl/>
              <w:numPr>
                <w:ilvl w:val="0"/>
                <w:numId w:val="0"/>
              </w:numPr>
              <w:spacing w:line="240" w:lineRule="auto"/>
              <w:ind w:leftChars="0"/>
              <w:jc w:val="left"/>
              <w:rPr>
                <w:rFonts w:hint="eastAsia" w:ascii="仿宋_GB2312" w:hAnsi="仿宋_GB2312" w:eastAsia="仿宋_GB2312" w:cs="仿宋_GB2312"/>
                <w:i w:val="0"/>
                <w:caps w:val="0"/>
                <w:color w:val="000000"/>
                <w:spacing w:val="0"/>
                <w:sz w:val="24"/>
                <w:szCs w:val="24"/>
                <w:lang w:val="en-US" w:eastAsia="zh-CN"/>
              </w:rPr>
            </w:pPr>
            <w:r>
              <w:rPr>
                <w:rFonts w:hint="eastAsia" w:ascii="仿宋_GB2312" w:hAnsi="仿宋_GB2312" w:eastAsia="仿宋_GB2312" w:cs="仿宋_GB2312"/>
                <w:kern w:val="0"/>
                <w:sz w:val="24"/>
                <w:szCs w:val="24"/>
                <w:lang w:val="en-US" w:eastAsia="zh-CN"/>
              </w:rPr>
              <w:t>以上3项不重复计算，取单项最高分。</w:t>
            </w:r>
          </w:p>
        </w:tc>
        <w:tc>
          <w:tcPr>
            <w:tcW w:w="1696" w:type="dxa"/>
            <w:vAlign w:val="center"/>
          </w:tcPr>
          <w:p w14:paraId="34420076">
            <w:pPr>
              <w:adjustRightInd/>
              <w:snapToGrid/>
              <w:spacing w:after="0"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论文</w:t>
            </w:r>
            <w:r>
              <w:rPr>
                <w:rFonts w:hint="eastAsia" w:ascii="仿宋_GB2312" w:hAnsi="仿宋_GB2312" w:eastAsia="仿宋_GB2312" w:cs="仿宋_GB2312"/>
                <w:sz w:val="24"/>
                <w:szCs w:val="24"/>
                <w:lang w:eastAsia="zh-CN"/>
              </w:rPr>
              <w:t>原件需提供刊物、检索结果，复印件需提供</w:t>
            </w:r>
            <w:r>
              <w:rPr>
                <w:rFonts w:hint="eastAsia" w:ascii="仿宋_GB2312" w:hAnsi="仿宋_GB2312" w:eastAsia="仿宋_GB2312" w:cs="仿宋_GB2312"/>
                <w:sz w:val="24"/>
                <w:szCs w:val="24"/>
              </w:rPr>
              <w:t>封</w:t>
            </w:r>
            <w:r>
              <w:rPr>
                <w:rFonts w:hint="eastAsia" w:ascii="仿宋_GB2312" w:hAnsi="仿宋_GB2312" w:eastAsia="仿宋_GB2312" w:cs="仿宋_GB2312"/>
                <w:sz w:val="24"/>
                <w:szCs w:val="24"/>
                <w:lang w:eastAsia="zh-CN"/>
              </w:rPr>
              <w:t>面、目</w:t>
            </w:r>
            <w:r>
              <w:rPr>
                <w:rFonts w:hint="eastAsia" w:ascii="仿宋_GB2312" w:hAnsi="仿宋_GB2312" w:eastAsia="仿宋_GB2312" w:cs="仿宋_GB2312"/>
                <w:sz w:val="24"/>
                <w:szCs w:val="24"/>
              </w:rPr>
              <w:t>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正文、检索</w:t>
            </w:r>
            <w:r>
              <w:rPr>
                <w:rFonts w:hint="eastAsia" w:ascii="仿宋_GB2312" w:hAnsi="仿宋_GB2312" w:eastAsia="仿宋_GB2312" w:cs="仿宋_GB2312"/>
                <w:sz w:val="24"/>
                <w:szCs w:val="24"/>
                <w:lang w:eastAsia="zh-CN"/>
              </w:rPr>
              <w:t>结果</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eastAsia="zh-CN"/>
              </w:rPr>
              <w:t>；课题需提供立项通知书和结题证书原件。教科研成果见荣誉证书</w:t>
            </w:r>
          </w:p>
          <w:p w14:paraId="3D97384E">
            <w:pPr>
              <w:widowControl/>
              <w:spacing w:line="240" w:lineRule="auto"/>
              <w:jc w:val="center"/>
              <w:rPr>
                <w:rFonts w:hint="eastAsia" w:ascii="仿宋_GB2312" w:hAnsi="仿宋_GB2312" w:eastAsia="仿宋_GB2312" w:cs="仿宋_GB2312"/>
                <w:kern w:val="0"/>
                <w:sz w:val="24"/>
                <w:szCs w:val="24"/>
                <w:lang w:eastAsia="zh-CN"/>
              </w:rPr>
            </w:pPr>
          </w:p>
        </w:tc>
      </w:tr>
    </w:tbl>
    <w:p w14:paraId="17C69BC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7BF85"/>
    <w:multiLevelType w:val="singleLevel"/>
    <w:tmpl w:val="C367BF8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66888"/>
    <w:rsid w:val="63266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2025-08-13T03:56:00Z</dcterms:created>
  <dc:creator>娃娃大作战</dc:creator>
  <cp:lastModifiedBy>娃娃大作战</cp:lastModifiedBy>
  <dcterms:modified xsi:type="dcterms:W3CDTF">2025-08-13T03:56:44Z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F1D1153A8B0943A4AE566FB6DCB7C032_11</vt:lpwstr>
  </property>
  <property fmtid="{D5CDD505-2E9C-101B-9397-08002B2CF9AE}" pid="4" name="KSOTemplateDocerSaveRecord">
    <vt:lpwstr>eyJoZGlkIjoiMzM5YjZkNDVlYmRjZjQzMDg1Mjk3Nzg4ZjZkYjllZTQiLCJ1c2VySWQiOiIzMzA4ODUwODQifQ==</vt:lpwstr>
  </property>
</Properties>
</file>