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附件5</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cs="Times New Roman" w:eastAsiaTheme="minorEastAsia"/>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宁夏回族自治区2020年度公安机关执法勤务职位招录人民警察专业科目考试大纲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宁夏回族自治区</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2020年度公安机关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执法勤务职位</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招录人民警察专业科目笔试，特制定本大纲。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一、考试方式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2020年度公安机关招录人民警察专业科目笔试采用闭卷考试方式，全部为客观性试题，考试时限120分钟，满分100分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考试后折算为150分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作答要求</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报考者务必携带的考试文具包括黑色字迹的钢笔或签字笔、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铅笔和橡皮。报考者必须用</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铅笔在指定位置上填涂准考证号，并在答题卡上作答。在试题本或其他位置作答一律无效。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三、考试内容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公安机关招录人民警察专业科目笔试，主要测查报考者报考公安机关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职位应当具备的基本素质与能力，包括职业素养、基础知识、基本能力三个方面。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（一）职业素养。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主要测查报考者的政治素质、对人民警察职业道德和职业纪律的认知水平。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政治素质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（1）政治立场与忠诚度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（2）政治敏锐性与鉴别力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职业道德和纪律要求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（1）人民警察核心价值观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（2）人民警察职业道德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（3）人民警察职业纪律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（二）基础知识。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主要测查报考者掌握有关法律和公安基础知识，及运用相关知识分析与解决问题的能力。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法律基础知识及执法依据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（1）中国特色社会主义法治理论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（2）法学基础理论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（3）宪法基础知识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（4）民法基础知识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（5）人民警察法基础知识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（6）行政执法基础知识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（7）刑事执法基础知识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公安基础知识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（1）公安机关的性质、任务、职能、职权与组织管理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9"/>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9"/>
          <w:sz w:val="31"/>
          <w:szCs w:val="31"/>
          <w:shd w:val="clear" w:fill="FFFFFF"/>
          <w14:textFill>
            <w14:solidFill>
              <w14:schemeClr w14:val="tx1"/>
            </w14:solidFill>
          </w14:textFill>
        </w:rPr>
        <w:t>（2）公安工作的根本原则、路线、方针、政策及公安历史沿革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（3）公安队伍建设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（4）公安执法监督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（三）基本能力。</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主要测查报考者在有关执法勤务活动中，正确观察、判断、分析案（事）件，严格守法、规范执法，有效沟通协调，妥善应对处置的能力。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群众工作能力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（1）宣传教育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（2）沟通协调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（3）组织动员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（4）服务群众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行政管理能力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（1）调查研究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（2）纠纷化解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（3）风险识别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（4）风险防范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3. 信息工作能力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（1）信息收集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（2）信息分析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（3）信息应用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4. 实务工作能力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（1）巡逻</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（2）接警与处警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（3）安全检查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（4）安全保护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5. 应急处理能力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（1）事态研判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（2）信息上报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（3）合理处置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（4）善后恢复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四、题型介绍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专业科目笔试题目分为单项选择、多项选择、情境三种类型。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（一）单项选择（每题所设选项中只有一个正确答案，多选、错选或不选均不得分）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规范机构设置是当前我国公安机关正规化建设的重要内容之一。根据《公安机关组织管理条例》的规定，不属于公安机关人民警察职务序列的是：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A．警官职务序列               B．警员职务序列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420" w:right="0" w:rightChars="0" w:firstLine="22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C．警务技术职务序列       D．辅警职务序列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（二）多项选择（每题所设选项中至少有两个正确答案，多选、少选、错选或不选均不得分）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下图为某市文峰派出所社区民警绘制的小区住户信息登记表的部分内容：</w:t>
      </w:r>
    </w:p>
    <w:p>
      <w:pPr>
        <w:pStyle w:val="4"/>
        <w:keepNext w:val="0"/>
        <w:keepLines w:val="0"/>
        <w:widowControl/>
        <w:suppressLineNumbers w:val="0"/>
        <w:shd w:val="clear" w:fill="FFFFFF"/>
        <w:spacing w:line="555" w:lineRule="atLeast"/>
        <w:ind w:left="0" w:firstLine="0"/>
        <w:jc w:val="center"/>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inline distT="0" distB="0" distL="114300" distR="114300">
            <wp:extent cx="5264785" cy="2490470"/>
            <wp:effectExtent l="0" t="0" r="1206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64785" cy="2490470"/>
                    </a:xfrm>
                    <a:prstGeom prst="rect">
                      <a:avLst/>
                    </a:prstGeom>
                    <a:noFill/>
                    <a:ln w="9525">
                      <a:noFill/>
                    </a:ln>
                  </pic:spPr>
                </pic:pic>
              </a:graphicData>
            </a:graphic>
          </wp:inline>
        </w:drawing>
      </w:r>
      <w:bookmarkStart w:id="0" w:name="_GoBack"/>
      <w:bookmarkEnd w:id="0"/>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有关该表所反映信息正确的说法有：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A．该楼只有两类住户，即人户分离户、租户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B．人户分离户是指在本楼居住但户口在其他派出所的住户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C．每户标注不同颜色表明对不同人口的管理有区别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D．民警希望加强对人户分离户、租户的管理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正确答案：B、C、D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（三）情境题（根据给出的情境材料做出分析，按照提问选择正确答案）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本案中，民警将赵某带回派出所值班室盘问的法律依据是：（单选）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A．《人民警察法》       B．《刑法》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C．《刑事诉讼法》        D．《治安管理处罚法》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正确答案：A</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民警对赵某继续进行盘问检查，符合的盘问条件是：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A．被指控有犯罪行为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B．有现场作案嫌疑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C．有作案嫌疑且身份不明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D．携带的物品有可能是赃物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3</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如果赵某在继续盘问期间不讲自己的真实姓名，派出所在规定时间以内仍不能证实或者排除其违法犯罪嫌疑的，最长可以延长至：（单选）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A．八小时                            B．十二小时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xml:space="preserve">C．二十四小时              </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D．四十八小时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4</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如果民警在继续盘问期间，赵某交代六部手机均为盗窃所得。经鉴定，六部手机价值两万余元，派出所对赵某正确的做法有：（多选）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A．立案侦查                  B．先行拘留</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C．决定逮捕                  D．移送起诉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default" w:ascii="Times New Roman" w:hAnsi="Times New Roman" w:cs="Times New Roman" w:eastAsiaTheme="minorEastAsia"/>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正确答案：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幼圆">
    <w:altName w:val="Courier New"/>
    <w:panose1 w:val="00000000000000000000"/>
    <w:charset w:val="00"/>
    <w:family w:val="auto"/>
    <w:pitch w:val="default"/>
    <w:sig w:usb0="00000000" w:usb1="00000000" w:usb2="00000000" w:usb3="00000000" w:csb0="0000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Latha">
    <w:altName w:val="Palatino Linotype"/>
    <w:panose1 w:val="020004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3F73"/>
    <w:multiLevelType w:val="singleLevel"/>
    <w:tmpl w:val="5E8D3F7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2AFA"/>
    <w:rsid w:val="03716348"/>
    <w:rsid w:val="06D0675E"/>
    <w:rsid w:val="09093A7F"/>
    <w:rsid w:val="0F3C39A6"/>
    <w:rsid w:val="0FC1328C"/>
    <w:rsid w:val="0FF17534"/>
    <w:rsid w:val="12B573F4"/>
    <w:rsid w:val="130D5C8D"/>
    <w:rsid w:val="135303AA"/>
    <w:rsid w:val="13BB6B05"/>
    <w:rsid w:val="159C5DCE"/>
    <w:rsid w:val="1C417292"/>
    <w:rsid w:val="1DE03C8B"/>
    <w:rsid w:val="242E5520"/>
    <w:rsid w:val="24376676"/>
    <w:rsid w:val="248D6AEB"/>
    <w:rsid w:val="264A11A3"/>
    <w:rsid w:val="271F6A18"/>
    <w:rsid w:val="28425A0F"/>
    <w:rsid w:val="29923F1C"/>
    <w:rsid w:val="29DB2579"/>
    <w:rsid w:val="2E281DF2"/>
    <w:rsid w:val="30CF49B9"/>
    <w:rsid w:val="322E3D2D"/>
    <w:rsid w:val="340258C4"/>
    <w:rsid w:val="350D4E8B"/>
    <w:rsid w:val="37380233"/>
    <w:rsid w:val="38A967DD"/>
    <w:rsid w:val="392046DA"/>
    <w:rsid w:val="43C2298A"/>
    <w:rsid w:val="44154851"/>
    <w:rsid w:val="48000068"/>
    <w:rsid w:val="486E2017"/>
    <w:rsid w:val="4A6B68AC"/>
    <w:rsid w:val="4A9C0A27"/>
    <w:rsid w:val="4C41576C"/>
    <w:rsid w:val="4F26082F"/>
    <w:rsid w:val="50737D6A"/>
    <w:rsid w:val="589126FF"/>
    <w:rsid w:val="5B850373"/>
    <w:rsid w:val="5BAC0CF2"/>
    <w:rsid w:val="5C3226B0"/>
    <w:rsid w:val="5FFB56C3"/>
    <w:rsid w:val="629B1B56"/>
    <w:rsid w:val="635C082E"/>
    <w:rsid w:val="66CE09E5"/>
    <w:rsid w:val="66E66D6C"/>
    <w:rsid w:val="677977D7"/>
    <w:rsid w:val="67BE5D65"/>
    <w:rsid w:val="69283D14"/>
    <w:rsid w:val="6B181FAD"/>
    <w:rsid w:val="6B2A6DA3"/>
    <w:rsid w:val="6B7821DD"/>
    <w:rsid w:val="6BE27A8E"/>
    <w:rsid w:val="6C42076D"/>
    <w:rsid w:val="721E1DAF"/>
    <w:rsid w:val="73174C65"/>
    <w:rsid w:val="743B4691"/>
    <w:rsid w:val="74CD3CE2"/>
    <w:rsid w:val="75231048"/>
    <w:rsid w:val="76F12EFE"/>
    <w:rsid w:val="78D81D2B"/>
    <w:rsid w:val="79A37A99"/>
    <w:rsid w:val="7A5233DB"/>
    <w:rsid w:val="7FAB0869"/>
    <w:rsid w:val="7FC713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cp:lastPrinted>2020-05-07T10:58:00Z</cp:lastPrinted>
  <dcterms:modified xsi:type="dcterms:W3CDTF">2020-05-08T01:55:32Z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